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6" w:name="_GoBack"/>
      <w:bookmarkEnd w:id="6"/>
    </w:p>
    <w:p/>
    <w:p/>
    <w:p>
      <w:pPr>
        <w:jc w:val="center"/>
      </w:pPr>
      <w:r>
        <w:rPr>
          <w:rFonts w:hint="eastAsia"/>
        </w:rPr>
        <w:drawing>
          <wp:inline distT="0" distB="0" distL="114300" distR="114300">
            <wp:extent cx="911860" cy="1283970"/>
            <wp:effectExtent l="0" t="0" r="2540" b="11430"/>
            <wp:docPr id="1" name="图片 1"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建材标志"/>
                    <pic:cNvPicPr>
                      <a:picLocks noChangeAspect="1"/>
                    </pic:cNvPicPr>
                  </pic:nvPicPr>
                  <pic:blipFill>
                    <a:blip r:embed="rId6"/>
                    <a:stretch>
                      <a:fillRect/>
                    </a:stretch>
                  </pic:blipFill>
                  <pic:spPr>
                    <a:xfrm>
                      <a:off x="0" y="0"/>
                      <a:ext cx="911860" cy="1283970"/>
                    </a:xfrm>
                    <a:prstGeom prst="rect">
                      <a:avLst/>
                    </a:prstGeom>
                  </pic:spPr>
                </pic:pic>
              </a:graphicData>
            </a:graphic>
          </wp:inline>
        </w:drawing>
      </w:r>
    </w:p>
    <w:p/>
    <w:p/>
    <w:p>
      <w:pPr>
        <w:spacing w:line="600" w:lineRule="auto"/>
        <w:jc w:val="center"/>
        <w:rPr>
          <w:rFonts w:ascii="黑体" w:hAnsi="黑体" w:eastAsia="黑体" w:cs="黑体"/>
          <w:sz w:val="48"/>
          <w:szCs w:val="48"/>
        </w:rPr>
      </w:pPr>
      <w:r>
        <w:rPr>
          <w:rFonts w:hint="eastAsia" w:ascii="黑体" w:hAnsi="黑体" w:eastAsia="黑体" w:cs="黑体"/>
          <w:sz w:val="48"/>
          <w:szCs w:val="48"/>
        </w:rPr>
        <w:t>南京中联混凝土有限公司</w:t>
      </w:r>
    </w:p>
    <w:p>
      <w:pPr>
        <w:spacing w:line="600" w:lineRule="auto"/>
        <w:jc w:val="center"/>
        <w:rPr>
          <w:rFonts w:ascii="黑体" w:hAnsi="黑体" w:eastAsia="黑体" w:cs="黑体"/>
          <w:sz w:val="48"/>
          <w:szCs w:val="48"/>
        </w:rPr>
      </w:pPr>
      <w:r>
        <w:rPr>
          <w:rFonts w:hint="eastAsia" w:ascii="黑体" w:hAnsi="黑体" w:eastAsia="黑体" w:cs="黑体"/>
          <w:sz w:val="48"/>
          <w:szCs w:val="48"/>
        </w:rPr>
        <w:t>砂石材料竞标采购实施办法</w:t>
      </w:r>
    </w:p>
    <w:p>
      <w:pPr>
        <w:spacing w:line="600" w:lineRule="auto"/>
        <w:jc w:val="center"/>
        <w:rPr>
          <w:rFonts w:ascii="黑体" w:hAnsi="黑体" w:eastAsia="黑体" w:cs="黑体"/>
          <w:sz w:val="48"/>
          <w:szCs w:val="48"/>
        </w:rPr>
      </w:pPr>
      <w:r>
        <w:rPr>
          <w:rFonts w:hint="eastAsia" w:ascii="黑体" w:hAnsi="黑体" w:eastAsia="黑体" w:cs="黑体"/>
          <w:sz w:val="48"/>
          <w:szCs w:val="48"/>
        </w:rPr>
        <w:t>（2022版 ）</w:t>
      </w:r>
    </w:p>
    <w:p>
      <w:pPr>
        <w:jc w:val="center"/>
        <w:rPr>
          <w:rFonts w:ascii="黑体" w:eastAsia="黑体"/>
          <w:sz w:val="52"/>
          <w:szCs w:val="52"/>
        </w:rPr>
      </w:pPr>
    </w:p>
    <w:p/>
    <w:p/>
    <w:p/>
    <w:p>
      <w:pPr>
        <w:rPr>
          <w:rFonts w:ascii="黑体" w:eastAsia="黑体"/>
          <w:sz w:val="52"/>
          <w:szCs w:val="52"/>
        </w:rPr>
      </w:pPr>
    </w:p>
    <w:p>
      <w:pPr>
        <w:rPr>
          <w:rFonts w:ascii="黑体" w:eastAsia="黑体"/>
          <w:sz w:val="52"/>
          <w:szCs w:val="52"/>
        </w:rPr>
      </w:pPr>
    </w:p>
    <w:p>
      <w:pPr>
        <w:rPr>
          <w:rFonts w:ascii="黑体" w:eastAsia="黑体"/>
          <w:sz w:val="52"/>
          <w:szCs w:val="52"/>
        </w:rPr>
      </w:pPr>
    </w:p>
    <w:p/>
    <w:p/>
    <w:p>
      <w:r>
        <w:drawing>
          <wp:anchor distT="0" distB="0" distL="114300" distR="114300" simplePos="0" relativeHeight="251659264" behindDoc="0" locked="0" layoutInCell="1" allowOverlap="1">
            <wp:simplePos x="0" y="0"/>
            <wp:positionH relativeFrom="column">
              <wp:posOffset>809625</wp:posOffset>
            </wp:positionH>
            <wp:positionV relativeFrom="paragraph">
              <wp:posOffset>9525</wp:posOffset>
            </wp:positionV>
            <wp:extent cx="3514725" cy="647700"/>
            <wp:effectExtent l="19050" t="0" r="9525" b="0"/>
            <wp:wrapNone/>
            <wp:docPr id="7" name="图片 4" descr="南京中联混凝土有限公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南京中联混凝土有限公司.JPG"/>
                    <pic:cNvPicPr>
                      <a:picLocks noChangeAspect="1"/>
                    </pic:cNvPicPr>
                  </pic:nvPicPr>
                  <pic:blipFill>
                    <a:blip r:embed="rId7" cstate="print"/>
                    <a:stretch>
                      <a:fillRect/>
                    </a:stretch>
                  </pic:blipFill>
                  <pic:spPr>
                    <a:xfrm>
                      <a:off x="0" y="0"/>
                      <a:ext cx="3514725" cy="647700"/>
                    </a:xfrm>
                    <a:prstGeom prst="rect">
                      <a:avLst/>
                    </a:prstGeom>
                  </pic:spPr>
                </pic:pic>
              </a:graphicData>
            </a:graphic>
          </wp:anchor>
        </w:drawing>
      </w:r>
    </w:p>
    <w:p/>
    <w:p/>
    <w:p/>
    <w:p>
      <w:pPr>
        <w:spacing w:line="560" w:lineRule="exact"/>
        <w:jc w:val="center"/>
        <w:rPr>
          <w:rFonts w:ascii="宋体" w:hAnsi="宋体" w:eastAsia="宋体" w:cs="宋体"/>
          <w:b/>
          <w:bCs/>
          <w:sz w:val="44"/>
          <w:szCs w:val="44"/>
        </w:rPr>
        <w:sectPr>
          <w:headerReference r:id="rId3" w:type="default"/>
          <w:pgSz w:w="11906" w:h="16838"/>
          <w:pgMar w:top="1280" w:right="1800" w:bottom="1440" w:left="1800" w:header="651" w:footer="992" w:gutter="0"/>
          <w:pgNumType w:fmt="numberInDash" w:start="1"/>
          <w:cols w:space="425" w:num="1"/>
          <w:docGrid w:type="lines" w:linePitch="312" w:charSpace="0"/>
        </w:sect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南京中联混凝土有限公司</w:t>
      </w:r>
    </w:p>
    <w:p>
      <w:pPr>
        <w:widowControl/>
        <w:jc w:val="center"/>
        <w:rPr>
          <w:color w:val="FF0000"/>
        </w:rPr>
      </w:pPr>
      <w:r>
        <w:rPr>
          <w:rFonts w:hint="eastAsia" w:ascii="宋体" w:hAnsi="宋体" w:eastAsia="宋体" w:cs="宋体"/>
          <w:b/>
          <w:bCs/>
          <w:sz w:val="44"/>
          <w:szCs w:val="44"/>
        </w:rPr>
        <w:t>砂石材料竞标采购实施办法（2022版）</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进一步规范公司砂石材料采购管理，充分体现公开、公正、公平、竞争的原则，在更好保障生产所需砂石材料供应、控制采购成本的同时，培养更多稳定、诚信、核心的供应商，与公司同频共振，合作共赢。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二、公司概况</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南京中联混凝土有限公司（以下简称“公司”）成立于2012年2月，隶属于我国建材行业唯一央企、也是全球最大的综合性建材产业集团——中国建材集团有限公司旗下的中国联合水泥集团有限公司，主要生产预拌混凝土、预拌砂浆。公司目前有14个商品混凝土搅拌站，辐射南京全市和镇江、马鞍山等地，年销量近1000万方，年销售额近50亿元，是江苏省最大的混凝土企业，也是全国最大的商品混凝土生产企业之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三、质量标准</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1.竞标采购产品主要为混凝土生产所需的砂、石材料。</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2.砂石产品质量应执行公司内部《原材料验收管理制度》，并符合现行行业标准《普通混凝土用砂、石质量及检验方法》JGJ52及其他相关国家、行业、地方标准。主要控制指标如下：</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（1）天然砂质量指标</w:t>
      </w:r>
    </w:p>
    <w:tbl>
      <w:tblPr>
        <w:tblStyle w:val="11"/>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66"/>
        <w:gridCol w:w="903"/>
        <w:gridCol w:w="1503"/>
        <w:gridCol w:w="1504"/>
        <w:gridCol w:w="120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序号</w:t>
            </w:r>
          </w:p>
        </w:tc>
        <w:tc>
          <w:tcPr>
            <w:tcW w:w="1366"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项目</w:t>
            </w:r>
          </w:p>
        </w:tc>
        <w:tc>
          <w:tcPr>
            <w:tcW w:w="903"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单</w:t>
            </w:r>
            <w:r>
              <w:rPr>
                <w:rFonts w:hint="eastAsia" w:asciiTheme="minorEastAsia" w:hAnsiTheme="minorEastAsia"/>
                <w:sz w:val="24"/>
                <w:szCs w:val="24"/>
              </w:rPr>
              <w:t>位</w:t>
            </w:r>
          </w:p>
        </w:tc>
        <w:tc>
          <w:tcPr>
            <w:tcW w:w="5382" w:type="dxa"/>
            <w:gridSpan w:val="4"/>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天然砂内控</w:t>
            </w:r>
            <w:r>
              <w:rPr>
                <w:rFonts w:asciiTheme="minorEastAsia" w:hAnsiTheme="minorEastAsia"/>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continue"/>
            <w:vAlign w:val="center"/>
          </w:tcPr>
          <w:p>
            <w:pPr>
              <w:spacing w:line="288" w:lineRule="auto"/>
              <w:jc w:val="center"/>
              <w:rPr>
                <w:rFonts w:asciiTheme="minorEastAsia" w:hAnsiTheme="minorEastAsia"/>
                <w:sz w:val="24"/>
                <w:szCs w:val="24"/>
              </w:rPr>
            </w:pPr>
          </w:p>
        </w:tc>
        <w:tc>
          <w:tcPr>
            <w:tcW w:w="1366" w:type="dxa"/>
            <w:vMerge w:val="continue"/>
            <w:vAlign w:val="center"/>
          </w:tcPr>
          <w:p>
            <w:pPr>
              <w:spacing w:line="288" w:lineRule="auto"/>
              <w:jc w:val="center"/>
              <w:rPr>
                <w:rFonts w:asciiTheme="minorEastAsia" w:hAnsiTheme="minorEastAsia"/>
                <w:sz w:val="24"/>
                <w:szCs w:val="24"/>
              </w:rPr>
            </w:pPr>
          </w:p>
        </w:tc>
        <w:tc>
          <w:tcPr>
            <w:tcW w:w="903" w:type="dxa"/>
            <w:vMerge w:val="continue"/>
            <w:vAlign w:val="center"/>
          </w:tcPr>
          <w:p>
            <w:pPr>
              <w:spacing w:line="288" w:lineRule="auto"/>
              <w:jc w:val="center"/>
              <w:rPr>
                <w:rFonts w:asciiTheme="minorEastAsia" w:hAnsiTheme="minorEastAsia"/>
                <w:sz w:val="24"/>
                <w:szCs w:val="24"/>
              </w:rPr>
            </w:pP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粗砂（I类）</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w:t>
            </w:r>
            <w:r>
              <w:rPr>
                <w:rFonts w:asciiTheme="minorEastAsia" w:hAnsiTheme="minorEastAsia"/>
                <w:sz w:val="24"/>
                <w:szCs w:val="24"/>
              </w:rPr>
              <w:t>砂</w:t>
            </w:r>
            <w:r>
              <w:rPr>
                <w:rFonts w:hint="eastAsia" w:asciiTheme="minorEastAsia" w:hAnsiTheme="minorEastAsia"/>
                <w:sz w:val="24"/>
                <w:szCs w:val="24"/>
              </w:rPr>
              <w:t>（II类）</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普通</w:t>
            </w:r>
            <w:r>
              <w:rPr>
                <w:rFonts w:asciiTheme="minorEastAsia" w:hAnsiTheme="minorEastAsia"/>
                <w:sz w:val="24"/>
                <w:szCs w:val="24"/>
              </w:rPr>
              <w:t>砂</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w:t>
            </w:r>
            <w:r>
              <w:rPr>
                <w:rFonts w:hint="eastAsia" w:asciiTheme="minorEastAsia" w:hAnsiTheme="minorEastAsia"/>
                <w:sz w:val="24"/>
                <w:szCs w:val="24"/>
              </w:rPr>
              <w:t>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细度模数</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2</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级配</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II区</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175"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3</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mm</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4</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含泥量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泥块含量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6</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氯离子</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5382" w:type="dxa"/>
            <w:gridSpan w:val="4"/>
            <w:vAlign w:val="center"/>
          </w:tcPr>
          <w:p>
            <w:pPr>
              <w:spacing w:line="288" w:lineRule="auto"/>
              <w:jc w:val="center"/>
              <w:rPr>
                <w:rFonts w:asciiTheme="minorEastAsia" w:hAnsiTheme="minorEastAsia"/>
                <w:sz w:val="24"/>
                <w:szCs w:val="24"/>
              </w:rPr>
            </w:pPr>
            <w:r>
              <w:rPr>
                <w:rFonts w:asciiTheme="minorEastAsia" w:hAnsiTheme="minorEastAsia"/>
                <w:sz w:val="24"/>
                <w:szCs w:val="24"/>
              </w:rPr>
              <w:t>≤0.0</w:t>
            </w:r>
            <w:r>
              <w:rPr>
                <w:rFonts w:hint="eastAsia" w:asciiTheme="minorEastAsia" w:hAnsiTheme="minorEastAsia"/>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trPr>
        <w:tc>
          <w:tcPr>
            <w:tcW w:w="8378" w:type="dxa"/>
            <w:gridSpan w:val="7"/>
            <w:vAlign w:val="center"/>
          </w:tcPr>
          <w:p>
            <w:pPr>
              <w:spacing w:line="288" w:lineRule="auto"/>
              <w:jc w:val="left"/>
              <w:rPr>
                <w:rFonts w:asciiTheme="minorEastAsia" w:hAnsiTheme="minorEastAsia"/>
                <w:sz w:val="24"/>
                <w:szCs w:val="24"/>
              </w:rPr>
            </w:pPr>
            <w:r>
              <w:rPr>
                <w:rFonts w:hint="eastAsia" w:asciiTheme="minorEastAsia" w:hAnsiTheme="minorEastAsia"/>
                <w:sz w:val="24"/>
                <w:szCs w:val="24"/>
              </w:rPr>
              <w:t>注：1、不得为海砂、风化砂。</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砂中不得含有大的石块、泥块、磨细钢渣、煤炭及树枝等杂物</w:t>
            </w:r>
            <w:r>
              <w:rPr>
                <w:rFonts w:hint="eastAsia" w:asciiTheme="minorEastAsia" w:hAnsiTheme="minorEastAsia"/>
                <w:sz w:val="24"/>
                <w:szCs w:val="24"/>
              </w:rPr>
              <w:t>。</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3、砂的坚固性、有害物质含量、贝壳含量等指标执行国家相关标准。</w:t>
            </w:r>
          </w:p>
        </w:tc>
      </w:tr>
    </w:tbl>
    <w:p>
      <w:pPr>
        <w:spacing w:line="560" w:lineRule="exact"/>
        <w:rPr>
          <w:rFonts w:ascii="仿宋_GB2312" w:hAnsi="仿宋_GB2312" w:eastAsia="仿宋_GB2312" w:cs="仿宋_GB2312"/>
          <w:sz w:val="32"/>
          <w:szCs w:val="32"/>
        </w:rPr>
      </w:pPr>
    </w:p>
    <w:p>
      <w:pPr>
        <w:numPr>
          <w:ilvl w:val="0"/>
          <w:numId w:val="1"/>
        </w:num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机制砂质量指标</w:t>
      </w:r>
    </w:p>
    <w:tbl>
      <w:tblPr>
        <w:tblStyle w:val="11"/>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497"/>
        <w:gridCol w:w="813"/>
        <w:gridCol w:w="199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restart"/>
            <w:vAlign w:val="center"/>
          </w:tcPr>
          <w:p>
            <w:pPr>
              <w:spacing w:line="288" w:lineRule="auto"/>
              <w:jc w:val="center"/>
              <w:rPr>
                <w:sz w:val="24"/>
                <w:szCs w:val="24"/>
              </w:rPr>
            </w:pPr>
            <w:r>
              <w:rPr>
                <w:sz w:val="24"/>
                <w:szCs w:val="24"/>
              </w:rPr>
              <w:t>序号</w:t>
            </w:r>
          </w:p>
        </w:tc>
        <w:tc>
          <w:tcPr>
            <w:tcW w:w="2497" w:type="dxa"/>
            <w:vMerge w:val="restart"/>
            <w:vAlign w:val="center"/>
          </w:tcPr>
          <w:p>
            <w:pPr>
              <w:spacing w:line="288" w:lineRule="auto"/>
              <w:jc w:val="center"/>
              <w:rPr>
                <w:sz w:val="24"/>
                <w:szCs w:val="24"/>
              </w:rPr>
            </w:pPr>
            <w:r>
              <w:rPr>
                <w:sz w:val="24"/>
                <w:szCs w:val="24"/>
              </w:rPr>
              <w:t>项目单位</w:t>
            </w:r>
          </w:p>
        </w:tc>
        <w:tc>
          <w:tcPr>
            <w:tcW w:w="813" w:type="dxa"/>
            <w:vMerge w:val="restart"/>
            <w:vAlign w:val="center"/>
          </w:tcPr>
          <w:p>
            <w:pPr>
              <w:spacing w:line="288" w:lineRule="auto"/>
              <w:jc w:val="center"/>
              <w:rPr>
                <w:sz w:val="24"/>
                <w:szCs w:val="24"/>
              </w:rPr>
            </w:pPr>
            <w:r>
              <w:rPr>
                <w:sz w:val="24"/>
                <w:szCs w:val="24"/>
              </w:rPr>
              <w:t>单位</w:t>
            </w:r>
          </w:p>
        </w:tc>
        <w:tc>
          <w:tcPr>
            <w:tcW w:w="4230" w:type="dxa"/>
            <w:gridSpan w:val="2"/>
            <w:vAlign w:val="center"/>
          </w:tcPr>
          <w:p>
            <w:pPr>
              <w:widowControl/>
              <w:jc w:val="center"/>
              <w:textAlignment w:val="center"/>
              <w:rPr>
                <w:sz w:val="24"/>
                <w:szCs w:val="24"/>
              </w:rPr>
            </w:pPr>
            <w:r>
              <w:rPr>
                <w:rFonts w:hint="eastAsia"/>
                <w:sz w:val="24"/>
                <w:szCs w:val="24"/>
              </w:rPr>
              <w:t>机制砂</w:t>
            </w:r>
            <w:r>
              <w:rPr>
                <w:sz w:val="24"/>
                <w:szCs w:val="24"/>
              </w:rPr>
              <w:t>内控指标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continue"/>
            <w:vAlign w:val="center"/>
          </w:tcPr>
          <w:p>
            <w:pPr>
              <w:spacing w:line="288" w:lineRule="auto"/>
              <w:jc w:val="center"/>
              <w:rPr>
                <w:sz w:val="24"/>
                <w:szCs w:val="24"/>
              </w:rPr>
            </w:pPr>
          </w:p>
        </w:tc>
        <w:tc>
          <w:tcPr>
            <w:tcW w:w="2497" w:type="dxa"/>
            <w:vMerge w:val="continue"/>
            <w:vAlign w:val="center"/>
          </w:tcPr>
          <w:p>
            <w:pPr>
              <w:spacing w:line="288" w:lineRule="auto"/>
              <w:jc w:val="center"/>
              <w:rPr>
                <w:sz w:val="24"/>
                <w:szCs w:val="24"/>
              </w:rPr>
            </w:pPr>
          </w:p>
        </w:tc>
        <w:tc>
          <w:tcPr>
            <w:tcW w:w="813" w:type="dxa"/>
            <w:vMerge w:val="continue"/>
            <w:vAlign w:val="center"/>
          </w:tcPr>
          <w:p>
            <w:pPr>
              <w:spacing w:line="288" w:lineRule="auto"/>
              <w:jc w:val="center"/>
              <w:rPr>
                <w:sz w:val="24"/>
                <w:szCs w:val="24"/>
              </w:rPr>
            </w:pPr>
          </w:p>
        </w:tc>
        <w:tc>
          <w:tcPr>
            <w:tcW w:w="1996" w:type="dxa"/>
            <w:vAlign w:val="center"/>
          </w:tcPr>
          <w:p>
            <w:pPr>
              <w:widowControl/>
              <w:jc w:val="center"/>
              <w:textAlignment w:val="center"/>
              <w:rPr>
                <w:sz w:val="24"/>
                <w:szCs w:val="24"/>
              </w:rPr>
            </w:pPr>
            <w:r>
              <w:rPr>
                <w:sz w:val="24"/>
                <w:szCs w:val="24"/>
              </w:rPr>
              <w:t>卵石</w:t>
            </w:r>
          </w:p>
        </w:tc>
        <w:tc>
          <w:tcPr>
            <w:tcW w:w="2234" w:type="dxa"/>
            <w:vAlign w:val="center"/>
          </w:tcPr>
          <w:p>
            <w:pPr>
              <w:widowControl/>
              <w:jc w:val="center"/>
              <w:textAlignment w:val="center"/>
              <w:rPr>
                <w:sz w:val="24"/>
                <w:szCs w:val="24"/>
              </w:rPr>
            </w:pPr>
            <w:r>
              <w:rPr>
                <w:sz w:val="24"/>
                <w:szCs w:val="24"/>
              </w:rPr>
              <w:t>石灰石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1</w:t>
            </w:r>
          </w:p>
        </w:tc>
        <w:tc>
          <w:tcPr>
            <w:tcW w:w="2497" w:type="dxa"/>
            <w:vAlign w:val="center"/>
          </w:tcPr>
          <w:p>
            <w:pPr>
              <w:spacing w:line="288" w:lineRule="auto"/>
              <w:jc w:val="center"/>
              <w:rPr>
                <w:sz w:val="24"/>
                <w:szCs w:val="24"/>
              </w:rPr>
            </w:pPr>
            <w:r>
              <w:rPr>
                <w:sz w:val="24"/>
                <w:szCs w:val="24"/>
              </w:rPr>
              <w:t>细度模数</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2.</w:t>
            </w:r>
            <w:r>
              <w:rPr>
                <w:rFonts w:hint="eastAsia"/>
                <w:sz w:val="24"/>
                <w:szCs w:val="24"/>
              </w:rPr>
              <w:t>5</w:t>
            </w:r>
            <w:r>
              <w:rPr>
                <w:sz w:val="24"/>
                <w:szCs w:val="24"/>
              </w:rPr>
              <w:t>~3.2</w:t>
            </w:r>
          </w:p>
        </w:tc>
        <w:tc>
          <w:tcPr>
            <w:tcW w:w="2234" w:type="dxa"/>
            <w:vAlign w:val="center"/>
          </w:tcPr>
          <w:p>
            <w:pPr>
              <w:spacing w:line="288" w:lineRule="auto"/>
              <w:jc w:val="center"/>
              <w:rPr>
                <w:sz w:val="24"/>
                <w:szCs w:val="24"/>
              </w:rPr>
            </w:pPr>
            <w:r>
              <w:rPr>
                <w:rFonts w:hint="eastAsia"/>
                <w:sz w:val="24"/>
                <w:szCs w:val="24"/>
              </w:rPr>
              <w:t>2.8</w:t>
            </w:r>
            <w:r>
              <w:rPr>
                <w:sz w:val="24"/>
                <w:szCs w:val="24"/>
              </w:rPr>
              <w:t>~3.</w:t>
            </w:r>
            <w:r>
              <w:rPr>
                <w:rFonts w:hint="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2</w:t>
            </w:r>
          </w:p>
        </w:tc>
        <w:tc>
          <w:tcPr>
            <w:tcW w:w="2497" w:type="dxa"/>
            <w:vAlign w:val="center"/>
          </w:tcPr>
          <w:p>
            <w:pPr>
              <w:spacing w:line="288" w:lineRule="auto"/>
              <w:jc w:val="center"/>
              <w:rPr>
                <w:sz w:val="24"/>
                <w:szCs w:val="24"/>
              </w:rPr>
            </w:pPr>
            <w:r>
              <w:rPr>
                <w:sz w:val="24"/>
                <w:szCs w:val="24"/>
              </w:rPr>
              <w:t>级配</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II区</w:t>
            </w:r>
          </w:p>
        </w:tc>
        <w:tc>
          <w:tcPr>
            <w:tcW w:w="2234" w:type="dxa"/>
            <w:vAlign w:val="center"/>
          </w:tcPr>
          <w:p>
            <w:pPr>
              <w:spacing w:line="288" w:lineRule="auto"/>
              <w:jc w:val="center"/>
              <w:rPr>
                <w:sz w:val="24"/>
                <w:szCs w:val="24"/>
              </w:rPr>
            </w:pPr>
            <w:r>
              <w:rPr>
                <w:rFonts w:hint="eastAsia"/>
                <w:sz w:val="24"/>
                <w:szCs w:val="24"/>
              </w:rPr>
              <w:t>I</w:t>
            </w:r>
            <w:r>
              <w:rPr>
                <w:sz w:val="24"/>
                <w:szCs w:val="24"/>
              </w:rPr>
              <w:t>区</w:t>
            </w:r>
            <w:r>
              <w:rPr>
                <w:rFonts w:hint="eastAsia"/>
                <w:sz w:val="24"/>
                <w:szCs w:val="24"/>
              </w:rPr>
              <w:t>、</w:t>
            </w:r>
            <w:r>
              <w:rPr>
                <w:sz w:val="24"/>
                <w:szCs w:val="24"/>
              </w:rPr>
              <w:t>II区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3</w:t>
            </w:r>
          </w:p>
        </w:tc>
        <w:tc>
          <w:tcPr>
            <w:tcW w:w="2497" w:type="dxa"/>
            <w:vAlign w:val="center"/>
          </w:tcPr>
          <w:p>
            <w:pPr>
              <w:spacing w:line="288" w:lineRule="auto"/>
              <w:jc w:val="center"/>
              <w:rPr>
                <w:sz w:val="24"/>
                <w:szCs w:val="24"/>
              </w:rPr>
            </w:pPr>
            <w:r>
              <w:rPr>
                <w:sz w:val="24"/>
                <w:szCs w:val="24"/>
              </w:rPr>
              <w:t>MB值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≤1.2</w:t>
            </w:r>
          </w:p>
        </w:tc>
        <w:tc>
          <w:tcPr>
            <w:tcW w:w="2234" w:type="dxa"/>
            <w:vAlign w:val="center"/>
          </w:tcPr>
          <w:p>
            <w:pPr>
              <w:spacing w:line="288" w:lineRule="auto"/>
              <w:jc w:val="center"/>
              <w:rPr>
                <w:sz w:val="24"/>
                <w:szCs w:val="24"/>
              </w:rPr>
            </w:pPr>
            <w:r>
              <w:rPr>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4</w:t>
            </w:r>
          </w:p>
        </w:tc>
        <w:tc>
          <w:tcPr>
            <w:tcW w:w="2497" w:type="dxa"/>
            <w:vAlign w:val="center"/>
          </w:tcPr>
          <w:p>
            <w:pPr>
              <w:spacing w:line="288" w:lineRule="auto"/>
              <w:jc w:val="center"/>
              <w:rPr>
                <w:sz w:val="24"/>
                <w:szCs w:val="24"/>
              </w:rPr>
            </w:pPr>
            <w:r>
              <w:rPr>
                <w:sz w:val="24"/>
                <w:szCs w:val="24"/>
              </w:rPr>
              <w:t>石粉含量（含泥量）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≤5.0</w:t>
            </w:r>
          </w:p>
        </w:tc>
        <w:tc>
          <w:tcPr>
            <w:tcW w:w="2234" w:type="dxa"/>
            <w:vAlign w:val="center"/>
          </w:tcPr>
          <w:p>
            <w:pPr>
              <w:spacing w:line="288" w:lineRule="auto"/>
              <w:jc w:val="center"/>
              <w:rPr>
                <w:sz w:val="24"/>
                <w:szCs w:val="24"/>
              </w:rPr>
            </w:pPr>
            <w:r>
              <w:rPr>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5</w:t>
            </w:r>
          </w:p>
        </w:tc>
        <w:tc>
          <w:tcPr>
            <w:tcW w:w="2497" w:type="dxa"/>
            <w:vAlign w:val="center"/>
          </w:tcPr>
          <w:p>
            <w:pPr>
              <w:spacing w:line="288" w:lineRule="auto"/>
              <w:jc w:val="center"/>
              <w:rPr>
                <w:sz w:val="24"/>
                <w:szCs w:val="24"/>
              </w:rPr>
            </w:pPr>
            <w:r>
              <w:rPr>
                <w:sz w:val="24"/>
                <w:szCs w:val="24"/>
              </w:rPr>
              <w:t>泥块含量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0</w:t>
            </w:r>
          </w:p>
        </w:tc>
        <w:tc>
          <w:tcPr>
            <w:tcW w:w="2234" w:type="dxa"/>
            <w:vAlign w:val="center"/>
          </w:tcPr>
          <w:p>
            <w:pPr>
              <w:spacing w:line="288" w:lineRule="auto"/>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6</w:t>
            </w:r>
          </w:p>
        </w:tc>
        <w:tc>
          <w:tcPr>
            <w:tcW w:w="2497" w:type="dxa"/>
            <w:vAlign w:val="center"/>
          </w:tcPr>
          <w:p>
            <w:pPr>
              <w:spacing w:line="288" w:lineRule="auto"/>
              <w:jc w:val="center"/>
              <w:rPr>
                <w:sz w:val="24"/>
                <w:szCs w:val="24"/>
              </w:rPr>
            </w:pPr>
            <w:r>
              <w:rPr>
                <w:sz w:val="24"/>
                <w:szCs w:val="24"/>
              </w:rPr>
              <w:t>压碎值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≤16.0</w:t>
            </w:r>
          </w:p>
        </w:tc>
        <w:tc>
          <w:tcPr>
            <w:tcW w:w="2234" w:type="dxa"/>
            <w:vAlign w:val="center"/>
          </w:tcPr>
          <w:p>
            <w:pPr>
              <w:spacing w:line="288" w:lineRule="auto"/>
              <w:jc w:val="center"/>
              <w:rPr>
                <w:sz w:val="24"/>
                <w:szCs w:val="24"/>
              </w:rPr>
            </w:pPr>
            <w:r>
              <w:rPr>
                <w:sz w:val="24"/>
                <w:szCs w:val="24"/>
              </w:rPr>
              <w:t>≤</w:t>
            </w:r>
            <w:r>
              <w:rPr>
                <w:rFonts w:hint="eastAsia"/>
                <w:sz w:val="24"/>
                <w:szCs w:val="24"/>
              </w:rPr>
              <w:t>18</w:t>
            </w:r>
            <w:r>
              <w:rPr>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rFonts w:hint="eastAsia"/>
                <w:sz w:val="24"/>
                <w:szCs w:val="24"/>
              </w:rPr>
              <w:t>7</w:t>
            </w:r>
          </w:p>
        </w:tc>
        <w:tc>
          <w:tcPr>
            <w:tcW w:w="2497" w:type="dxa"/>
            <w:vAlign w:val="center"/>
          </w:tcPr>
          <w:p>
            <w:pPr>
              <w:spacing w:line="288" w:lineRule="auto"/>
              <w:jc w:val="center"/>
              <w:rPr>
                <w:sz w:val="24"/>
                <w:szCs w:val="24"/>
              </w:rPr>
            </w:pPr>
            <w:r>
              <w:rPr>
                <w:sz w:val="24"/>
                <w:szCs w:val="24"/>
              </w:rPr>
              <w:t>吸水率</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≤1.5</w:t>
            </w:r>
          </w:p>
        </w:tc>
        <w:tc>
          <w:tcPr>
            <w:tcW w:w="2234" w:type="dxa"/>
            <w:vAlign w:val="center"/>
          </w:tcPr>
          <w:p>
            <w:pPr>
              <w:spacing w:line="288" w:lineRule="auto"/>
              <w:jc w:val="center"/>
              <w:rPr>
                <w:sz w:val="24"/>
                <w:szCs w:val="24"/>
              </w:rPr>
            </w:pPr>
            <w:r>
              <w:rPr>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8</w:t>
            </w:r>
          </w:p>
        </w:tc>
        <w:tc>
          <w:tcPr>
            <w:tcW w:w="2497" w:type="dxa"/>
            <w:vAlign w:val="center"/>
          </w:tcPr>
          <w:p>
            <w:pPr>
              <w:spacing w:line="288" w:lineRule="auto"/>
              <w:jc w:val="center"/>
              <w:rPr>
                <w:sz w:val="24"/>
                <w:szCs w:val="24"/>
              </w:rPr>
            </w:pPr>
            <w:r>
              <w:rPr>
                <w:sz w:val="24"/>
                <w:szCs w:val="24"/>
              </w:rPr>
              <w:t>氯离子含量</w:t>
            </w:r>
          </w:p>
        </w:tc>
        <w:tc>
          <w:tcPr>
            <w:tcW w:w="813" w:type="dxa"/>
            <w:vAlign w:val="center"/>
          </w:tcPr>
          <w:p>
            <w:pPr>
              <w:spacing w:line="288" w:lineRule="auto"/>
              <w:jc w:val="center"/>
              <w:rPr>
                <w:sz w:val="24"/>
                <w:szCs w:val="24"/>
              </w:rPr>
            </w:pPr>
            <w:r>
              <w:rPr>
                <w:sz w:val="24"/>
                <w:szCs w:val="24"/>
              </w:rPr>
              <w:t>%</w:t>
            </w:r>
          </w:p>
        </w:tc>
        <w:tc>
          <w:tcPr>
            <w:tcW w:w="4230" w:type="dxa"/>
            <w:gridSpan w:val="2"/>
            <w:vAlign w:val="center"/>
          </w:tcPr>
          <w:p>
            <w:pPr>
              <w:spacing w:line="288" w:lineRule="auto"/>
              <w:jc w:val="center"/>
              <w:rPr>
                <w:sz w:val="24"/>
                <w:szCs w:val="24"/>
              </w:rPr>
            </w:pPr>
            <w:r>
              <w:rPr>
                <w:rFonts w:hint="eastAsia"/>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378" w:type="dxa"/>
            <w:gridSpan w:val="5"/>
            <w:vAlign w:val="center"/>
          </w:tcPr>
          <w:p>
            <w:pPr>
              <w:spacing w:line="288" w:lineRule="auto"/>
              <w:rPr>
                <w:sz w:val="24"/>
                <w:szCs w:val="24"/>
              </w:rPr>
            </w:pPr>
            <w:r>
              <w:rPr>
                <w:rFonts w:hint="eastAsia"/>
                <w:sz w:val="24"/>
                <w:szCs w:val="24"/>
              </w:rPr>
              <w:t>注：</w:t>
            </w:r>
            <w:r>
              <w:rPr>
                <w:sz w:val="24"/>
                <w:szCs w:val="24"/>
              </w:rPr>
              <w:t>1、</w:t>
            </w:r>
            <w:r>
              <w:rPr>
                <w:rFonts w:hint="eastAsia"/>
                <w:sz w:val="24"/>
                <w:szCs w:val="24"/>
              </w:rPr>
              <w:t>机制砂的原材不得为风化石、石英砂岩、页岩或砂岩；</w:t>
            </w:r>
          </w:p>
          <w:p>
            <w:pPr>
              <w:spacing w:line="288" w:lineRule="auto"/>
              <w:ind w:firstLine="480" w:firstLineChars="200"/>
              <w:rPr>
                <w:sz w:val="24"/>
                <w:szCs w:val="24"/>
              </w:rPr>
            </w:pPr>
            <w:r>
              <w:rPr>
                <w:rFonts w:hint="eastAsia"/>
                <w:sz w:val="24"/>
                <w:szCs w:val="24"/>
              </w:rPr>
              <w:t>2、机制砂</w:t>
            </w:r>
            <w:r>
              <w:rPr>
                <w:sz w:val="24"/>
                <w:szCs w:val="24"/>
              </w:rPr>
              <w:t>中不得含有大的石块、泥块、磨细钢渣、煤炭及树枝等杂物</w:t>
            </w:r>
            <w:r>
              <w:rPr>
                <w:rFonts w:hint="eastAsia"/>
                <w:sz w:val="24"/>
                <w:szCs w:val="24"/>
              </w:rPr>
              <w:t>；</w:t>
            </w:r>
          </w:p>
          <w:p>
            <w:pPr>
              <w:spacing w:line="288" w:lineRule="auto"/>
              <w:ind w:firstLine="480" w:firstLineChars="200"/>
              <w:rPr>
                <w:color w:val="000000"/>
                <w:sz w:val="24"/>
                <w:szCs w:val="24"/>
              </w:rPr>
            </w:pPr>
            <w:r>
              <w:rPr>
                <w:rFonts w:hint="eastAsia"/>
                <w:color w:val="000000"/>
                <w:sz w:val="24"/>
                <w:szCs w:val="24"/>
              </w:rPr>
              <w:t>3</w:t>
            </w:r>
            <w:r>
              <w:rPr>
                <w:color w:val="000000"/>
                <w:sz w:val="24"/>
                <w:szCs w:val="24"/>
              </w:rPr>
              <w:t>、</w:t>
            </w:r>
            <w:r>
              <w:rPr>
                <w:rFonts w:hint="eastAsia"/>
                <w:color w:val="000000"/>
                <w:sz w:val="24"/>
                <w:szCs w:val="24"/>
              </w:rPr>
              <w:t>机制砂</w:t>
            </w:r>
            <w:r>
              <w:rPr>
                <w:color w:val="000000"/>
                <w:sz w:val="24"/>
                <w:szCs w:val="24"/>
              </w:rPr>
              <w:t>中严格控制铁物质含量小于0.2%；</w:t>
            </w:r>
          </w:p>
          <w:p>
            <w:pPr>
              <w:spacing w:line="288" w:lineRule="auto"/>
              <w:ind w:firstLine="480" w:firstLineChars="200"/>
              <w:rPr>
                <w:color w:val="000000"/>
              </w:rPr>
            </w:pPr>
            <w:r>
              <w:rPr>
                <w:color w:val="000000"/>
                <w:sz w:val="24"/>
                <w:szCs w:val="24"/>
              </w:rPr>
              <w:t>4、</w:t>
            </w:r>
            <w:r>
              <w:rPr>
                <w:rFonts w:hint="eastAsia"/>
                <w:color w:val="000000"/>
                <w:sz w:val="24"/>
                <w:szCs w:val="24"/>
              </w:rPr>
              <w:t>机制砂</w:t>
            </w:r>
            <w:r>
              <w:rPr>
                <w:color w:val="000000"/>
                <w:sz w:val="24"/>
                <w:szCs w:val="24"/>
              </w:rPr>
              <w:t>使用絮凝剂的不得影响混凝土工作性能，如对外加剂掺量造成明显影响的进行退货；</w:t>
            </w:r>
          </w:p>
          <w:p>
            <w:pPr>
              <w:spacing w:line="288" w:lineRule="auto"/>
              <w:ind w:firstLine="480" w:firstLineChars="200"/>
              <w:rPr>
                <w:sz w:val="24"/>
                <w:szCs w:val="24"/>
              </w:rPr>
            </w:pPr>
            <w:r>
              <w:rPr>
                <w:sz w:val="24"/>
                <w:szCs w:val="24"/>
              </w:rPr>
              <w:t>5、</w:t>
            </w:r>
            <w:r>
              <w:rPr>
                <w:rFonts w:hint="eastAsia"/>
                <w:sz w:val="24"/>
                <w:szCs w:val="24"/>
              </w:rPr>
              <w:t>机制砂</w:t>
            </w:r>
            <w:r>
              <w:rPr>
                <w:sz w:val="24"/>
                <w:szCs w:val="24"/>
              </w:rPr>
              <w:t>的放射性、有害物质含量、坚固性及碱集料等指标应符合国家相关标准。</w:t>
            </w:r>
          </w:p>
        </w:tc>
      </w:tr>
    </w:tbl>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（3）石料质量指标</w:t>
      </w:r>
    </w:p>
    <w:tbl>
      <w:tblPr>
        <w:tblStyle w:val="11"/>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809"/>
        <w:gridCol w:w="902"/>
        <w:gridCol w:w="1415"/>
        <w:gridCol w:w="1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59" w:type="dxa"/>
            <w:tcMar>
              <w:left w:w="57" w:type="dxa"/>
              <w:right w:w="57" w:type="dxa"/>
            </w:tcMar>
            <w:vAlign w:val="center"/>
          </w:tcPr>
          <w:p>
            <w:pPr>
              <w:jc w:val="center"/>
              <w:rPr>
                <w:sz w:val="24"/>
                <w:szCs w:val="24"/>
              </w:rPr>
            </w:pPr>
            <w:r>
              <w:rPr>
                <w:sz w:val="24"/>
                <w:szCs w:val="24"/>
              </w:rPr>
              <w:t>序号</w:t>
            </w:r>
          </w:p>
        </w:tc>
        <w:tc>
          <w:tcPr>
            <w:tcW w:w="2809" w:type="dxa"/>
            <w:tcMar>
              <w:left w:w="57" w:type="dxa"/>
              <w:right w:w="57" w:type="dxa"/>
            </w:tcMar>
            <w:vAlign w:val="center"/>
          </w:tcPr>
          <w:p>
            <w:pPr>
              <w:jc w:val="center"/>
              <w:rPr>
                <w:sz w:val="24"/>
                <w:szCs w:val="24"/>
              </w:rPr>
            </w:pPr>
            <w:r>
              <w:rPr>
                <w:sz w:val="24"/>
                <w:szCs w:val="24"/>
              </w:rPr>
              <w:t>项目</w:t>
            </w:r>
          </w:p>
        </w:tc>
        <w:tc>
          <w:tcPr>
            <w:tcW w:w="902" w:type="dxa"/>
            <w:tcMar>
              <w:left w:w="57" w:type="dxa"/>
              <w:right w:w="57" w:type="dxa"/>
            </w:tcMar>
            <w:vAlign w:val="center"/>
          </w:tcPr>
          <w:p>
            <w:pPr>
              <w:jc w:val="center"/>
              <w:rPr>
                <w:sz w:val="24"/>
                <w:szCs w:val="24"/>
              </w:rPr>
            </w:pPr>
            <w:r>
              <w:rPr>
                <w:sz w:val="24"/>
                <w:szCs w:val="24"/>
              </w:rPr>
              <w:t>单位</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7" w:type="dxa"/>
            <w:tcMar>
              <w:left w:w="57" w:type="dxa"/>
              <w:right w:w="57" w:type="dxa"/>
            </w:tcMar>
            <w:vAlign w:val="center"/>
          </w:tcPr>
          <w:p>
            <w:pPr>
              <w:pStyle w:val="2"/>
              <w:snapToGrid w:val="0"/>
              <w:spacing w:before="0" w:after="0" w:line="240" w:lineRule="auto"/>
              <w:ind w:left="-29" w:leftChars="-95" w:right="-113" w:rightChars="-54" w:hanging="170" w:hangingChars="71"/>
              <w:jc w:val="center"/>
              <w:rPr>
                <w:sz w:val="24"/>
                <w:szCs w:val="24"/>
              </w:rPr>
            </w:pPr>
            <w:r>
              <w:rPr>
                <w:rFonts w:hint="eastAsia"/>
                <w:b w:val="0"/>
                <w:bCs w:val="0"/>
                <w:sz w:val="24"/>
                <w:szCs w:val="24"/>
              </w:rPr>
              <w:t>瓜子片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59" w:type="dxa"/>
            <w:tcMar>
              <w:left w:w="57" w:type="dxa"/>
              <w:right w:w="57" w:type="dxa"/>
            </w:tcMar>
            <w:vAlign w:val="center"/>
          </w:tcPr>
          <w:p>
            <w:pPr>
              <w:jc w:val="center"/>
              <w:rPr>
                <w:sz w:val="24"/>
                <w:szCs w:val="24"/>
              </w:rPr>
            </w:pPr>
            <w:r>
              <w:rPr>
                <w:sz w:val="24"/>
                <w:szCs w:val="24"/>
              </w:rPr>
              <w:t>1</w:t>
            </w:r>
          </w:p>
        </w:tc>
        <w:tc>
          <w:tcPr>
            <w:tcW w:w="2809" w:type="dxa"/>
            <w:tcMar>
              <w:left w:w="57" w:type="dxa"/>
              <w:right w:w="57" w:type="dxa"/>
            </w:tcMar>
            <w:vAlign w:val="center"/>
          </w:tcPr>
          <w:p>
            <w:pPr>
              <w:jc w:val="center"/>
              <w:rPr>
                <w:sz w:val="24"/>
                <w:szCs w:val="24"/>
              </w:rPr>
            </w:pPr>
            <w:r>
              <w:rPr>
                <w:sz w:val="24"/>
                <w:szCs w:val="24"/>
              </w:rPr>
              <w:t>级配</w:t>
            </w:r>
          </w:p>
        </w:tc>
        <w:tc>
          <w:tcPr>
            <w:tcW w:w="902" w:type="dxa"/>
            <w:tcMar>
              <w:left w:w="57" w:type="dxa"/>
              <w:right w:w="57" w:type="dxa"/>
            </w:tcMar>
            <w:vAlign w:val="center"/>
          </w:tcPr>
          <w:p>
            <w:pPr>
              <w:jc w:val="center"/>
              <w:rPr>
                <w:sz w:val="24"/>
                <w:szCs w:val="24"/>
              </w:rPr>
            </w:pPr>
            <w:r>
              <w:rPr>
                <w:sz w:val="24"/>
                <w:szCs w:val="24"/>
              </w:rPr>
              <w:t>mm</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31.5</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25</w:t>
            </w:r>
          </w:p>
        </w:tc>
        <w:tc>
          <w:tcPr>
            <w:tcW w:w="1417" w:type="dxa"/>
            <w:tcMar>
              <w:left w:w="57" w:type="dxa"/>
              <w:right w:w="57" w:type="dxa"/>
            </w:tcMar>
            <w:vAlign w:val="center"/>
          </w:tcPr>
          <w:p>
            <w:pPr>
              <w:jc w:val="center"/>
              <w:rPr>
                <w:sz w:val="24"/>
                <w:szCs w:val="24"/>
              </w:rPr>
            </w:pPr>
            <w:r>
              <w:rPr>
                <w:sz w:val="24"/>
                <w:szCs w:val="24"/>
              </w:rPr>
              <w:t>5</w:t>
            </w:r>
            <w:r>
              <w:rPr>
                <w:rFonts w:hint="eastAsia"/>
                <w:sz w:val="24"/>
                <w:szCs w:val="24"/>
              </w:rPr>
              <w:t>~</w:t>
            </w:r>
            <w:r>
              <w:rPr>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sz w:val="24"/>
                <w:szCs w:val="24"/>
              </w:rPr>
              <w:t>2</w:t>
            </w:r>
          </w:p>
        </w:tc>
        <w:tc>
          <w:tcPr>
            <w:tcW w:w="2809" w:type="dxa"/>
            <w:tcMar>
              <w:left w:w="57" w:type="dxa"/>
              <w:right w:w="57" w:type="dxa"/>
            </w:tcMar>
            <w:vAlign w:val="center"/>
          </w:tcPr>
          <w:p>
            <w:pPr>
              <w:jc w:val="center"/>
              <w:rPr>
                <w:sz w:val="24"/>
                <w:szCs w:val="24"/>
              </w:rPr>
            </w:pPr>
            <w:r>
              <w:rPr>
                <w:sz w:val="24"/>
                <w:szCs w:val="24"/>
              </w:rPr>
              <w:t>针片状颗粒含量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59" w:type="dxa"/>
            <w:tcMar>
              <w:left w:w="57" w:type="dxa"/>
              <w:right w:w="57" w:type="dxa"/>
            </w:tcMar>
            <w:vAlign w:val="center"/>
          </w:tcPr>
          <w:p>
            <w:pPr>
              <w:jc w:val="center"/>
              <w:rPr>
                <w:sz w:val="24"/>
                <w:szCs w:val="24"/>
              </w:rPr>
            </w:pPr>
            <w:r>
              <w:rPr>
                <w:sz w:val="24"/>
                <w:szCs w:val="24"/>
              </w:rPr>
              <w:t>3</w:t>
            </w:r>
          </w:p>
        </w:tc>
        <w:tc>
          <w:tcPr>
            <w:tcW w:w="2809" w:type="dxa"/>
            <w:tcMar>
              <w:left w:w="57" w:type="dxa"/>
              <w:right w:w="57" w:type="dxa"/>
            </w:tcMar>
            <w:vAlign w:val="center"/>
          </w:tcPr>
          <w:p>
            <w:pPr>
              <w:jc w:val="center"/>
              <w:rPr>
                <w:sz w:val="24"/>
                <w:szCs w:val="24"/>
              </w:rPr>
            </w:pPr>
            <w:r>
              <w:rPr>
                <w:sz w:val="24"/>
                <w:szCs w:val="24"/>
              </w:rPr>
              <w:t>石粉含量</w:t>
            </w:r>
            <w:r>
              <w:rPr>
                <w:rFonts w:hint="eastAsia"/>
                <w:sz w:val="24"/>
                <w:szCs w:val="24"/>
              </w:rPr>
              <w:t>（含泥量）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≤2</w:t>
            </w:r>
            <w:r>
              <w:rPr>
                <w:rFonts w:hint="eastAsia"/>
                <w:sz w:val="24"/>
                <w:szCs w:val="24"/>
              </w:rPr>
              <w:t>.0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2.0</w:t>
            </w:r>
          </w:p>
        </w:tc>
        <w:tc>
          <w:tcPr>
            <w:tcW w:w="1417" w:type="dxa"/>
            <w:tcMar>
              <w:left w:w="57" w:type="dxa"/>
              <w:right w:w="57" w:type="dxa"/>
            </w:tcMar>
            <w:vAlign w:val="center"/>
          </w:tcPr>
          <w:p>
            <w:pPr>
              <w:jc w:val="center"/>
              <w:rPr>
                <w:sz w:val="24"/>
                <w:szCs w:val="24"/>
              </w:rPr>
            </w:pPr>
            <w:r>
              <w:rPr>
                <w:sz w:val="24"/>
                <w:szCs w:val="24"/>
              </w:rPr>
              <w:t>≤3</w:t>
            </w: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59" w:type="dxa"/>
            <w:tcMar>
              <w:left w:w="57" w:type="dxa"/>
              <w:right w:w="57" w:type="dxa"/>
            </w:tcMar>
            <w:vAlign w:val="center"/>
          </w:tcPr>
          <w:p>
            <w:pPr>
              <w:jc w:val="center"/>
              <w:rPr>
                <w:sz w:val="24"/>
                <w:szCs w:val="24"/>
              </w:rPr>
            </w:pPr>
            <w:r>
              <w:rPr>
                <w:sz w:val="24"/>
                <w:szCs w:val="24"/>
              </w:rPr>
              <w:t>4</w:t>
            </w:r>
          </w:p>
        </w:tc>
        <w:tc>
          <w:tcPr>
            <w:tcW w:w="2809" w:type="dxa"/>
            <w:tcMar>
              <w:left w:w="57" w:type="dxa"/>
              <w:right w:w="57" w:type="dxa"/>
            </w:tcMar>
            <w:vAlign w:val="center"/>
          </w:tcPr>
          <w:p>
            <w:pPr>
              <w:jc w:val="center"/>
              <w:rPr>
                <w:sz w:val="24"/>
                <w:szCs w:val="24"/>
              </w:rPr>
            </w:pPr>
            <w:r>
              <w:rPr>
                <w:sz w:val="24"/>
                <w:szCs w:val="24"/>
              </w:rPr>
              <w:t>泥块含量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≤0.5</w:t>
            </w:r>
          </w:p>
        </w:tc>
        <w:tc>
          <w:tcPr>
            <w:tcW w:w="1415" w:type="dxa"/>
            <w:tcMar>
              <w:left w:w="57" w:type="dxa"/>
              <w:right w:w="57" w:type="dxa"/>
            </w:tcMar>
            <w:vAlign w:val="center"/>
          </w:tcPr>
          <w:p>
            <w:pPr>
              <w:jc w:val="center"/>
              <w:rPr>
                <w:sz w:val="24"/>
                <w:szCs w:val="24"/>
              </w:rPr>
            </w:pPr>
            <w:r>
              <w:rPr>
                <w:sz w:val="24"/>
                <w:szCs w:val="24"/>
              </w:rPr>
              <w:t>≤0.</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sz w:val="24"/>
                <w:szCs w:val="24"/>
              </w:rPr>
              <w:t>5</w:t>
            </w:r>
          </w:p>
        </w:tc>
        <w:tc>
          <w:tcPr>
            <w:tcW w:w="2809" w:type="dxa"/>
            <w:tcMar>
              <w:left w:w="57" w:type="dxa"/>
              <w:right w:w="57" w:type="dxa"/>
            </w:tcMar>
            <w:vAlign w:val="center"/>
          </w:tcPr>
          <w:p>
            <w:pPr>
              <w:jc w:val="center"/>
              <w:rPr>
                <w:sz w:val="24"/>
                <w:szCs w:val="24"/>
              </w:rPr>
            </w:pPr>
            <w:r>
              <w:rPr>
                <w:sz w:val="24"/>
                <w:szCs w:val="24"/>
              </w:rPr>
              <w:t>压碎值指标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≤13</w:t>
            </w:r>
          </w:p>
        </w:tc>
        <w:tc>
          <w:tcPr>
            <w:tcW w:w="1415" w:type="dxa"/>
            <w:tcMar>
              <w:left w:w="57" w:type="dxa"/>
              <w:right w:w="57" w:type="dxa"/>
            </w:tcMar>
            <w:vAlign w:val="center"/>
          </w:tcPr>
          <w:p>
            <w:pPr>
              <w:jc w:val="center"/>
              <w:rPr>
                <w:sz w:val="24"/>
                <w:szCs w:val="24"/>
              </w:rPr>
            </w:pPr>
            <w:r>
              <w:rPr>
                <w:sz w:val="24"/>
                <w:szCs w:val="24"/>
              </w:rPr>
              <w:t>≤1</w:t>
            </w:r>
            <w:r>
              <w:rPr>
                <w:rFonts w:hint="eastAsia"/>
                <w:sz w:val="24"/>
                <w:szCs w:val="24"/>
              </w:rPr>
              <w:t>3</w:t>
            </w:r>
          </w:p>
        </w:tc>
        <w:tc>
          <w:tcPr>
            <w:tcW w:w="1417" w:type="dxa"/>
            <w:tcMar>
              <w:left w:w="57" w:type="dxa"/>
              <w:right w:w="57" w:type="dxa"/>
            </w:tcMar>
            <w:vAlign w:val="center"/>
          </w:tcPr>
          <w:p>
            <w:pPr>
              <w:jc w:val="center"/>
              <w:rPr>
                <w:sz w:val="24"/>
                <w:szCs w:val="24"/>
              </w:rPr>
            </w:pPr>
            <w:r>
              <w:rPr>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rFonts w:hint="eastAsia"/>
                <w:sz w:val="24"/>
                <w:szCs w:val="24"/>
              </w:rPr>
              <w:t>6</w:t>
            </w:r>
          </w:p>
        </w:tc>
        <w:tc>
          <w:tcPr>
            <w:tcW w:w="2809" w:type="dxa"/>
            <w:tcMar>
              <w:left w:w="57" w:type="dxa"/>
              <w:right w:w="57" w:type="dxa"/>
            </w:tcMar>
            <w:vAlign w:val="center"/>
          </w:tcPr>
          <w:p>
            <w:pPr>
              <w:jc w:val="center"/>
              <w:rPr>
                <w:sz w:val="24"/>
                <w:szCs w:val="24"/>
              </w:rPr>
            </w:pPr>
            <w:r>
              <w:rPr>
                <w:sz w:val="24"/>
                <w:szCs w:val="24"/>
              </w:rPr>
              <w:t>吸水率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≤0.7</w:t>
            </w:r>
          </w:p>
        </w:tc>
        <w:tc>
          <w:tcPr>
            <w:tcW w:w="1415" w:type="dxa"/>
            <w:tcMar>
              <w:left w:w="57" w:type="dxa"/>
              <w:right w:w="57" w:type="dxa"/>
            </w:tcMar>
            <w:vAlign w:val="center"/>
          </w:tcPr>
          <w:p>
            <w:pPr>
              <w:jc w:val="center"/>
              <w:rPr>
                <w:sz w:val="24"/>
                <w:szCs w:val="24"/>
              </w:rPr>
            </w:pPr>
            <w:r>
              <w:rPr>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759" w:type="dxa"/>
            <w:tcMar>
              <w:left w:w="57" w:type="dxa"/>
              <w:right w:w="57" w:type="dxa"/>
            </w:tcMar>
            <w:vAlign w:val="center"/>
          </w:tcPr>
          <w:p>
            <w:pPr>
              <w:jc w:val="center"/>
              <w:rPr>
                <w:sz w:val="24"/>
                <w:szCs w:val="24"/>
              </w:rPr>
            </w:pPr>
            <w:r>
              <w:rPr>
                <w:rFonts w:hint="eastAsia"/>
                <w:sz w:val="24"/>
                <w:szCs w:val="24"/>
              </w:rPr>
              <w:t>7</w:t>
            </w:r>
          </w:p>
        </w:tc>
        <w:tc>
          <w:tcPr>
            <w:tcW w:w="2809" w:type="dxa"/>
            <w:tcMar>
              <w:left w:w="57" w:type="dxa"/>
              <w:right w:w="57" w:type="dxa"/>
            </w:tcMar>
            <w:vAlign w:val="center"/>
          </w:tcPr>
          <w:p>
            <w:pPr>
              <w:jc w:val="center"/>
              <w:rPr>
                <w:sz w:val="24"/>
                <w:szCs w:val="24"/>
              </w:rPr>
            </w:pPr>
            <w:r>
              <w:rPr>
                <w:sz w:val="24"/>
                <w:szCs w:val="24"/>
              </w:rPr>
              <w:t>16mm以下筛分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≤50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50</w:t>
            </w:r>
          </w:p>
        </w:tc>
        <w:tc>
          <w:tcPr>
            <w:tcW w:w="1417" w:type="dxa"/>
            <w:tcMar>
              <w:left w:w="57" w:type="dxa"/>
              <w:right w:w="57" w:type="dxa"/>
            </w:tcMar>
            <w:vAlign w:val="center"/>
          </w:tcPr>
          <w:p>
            <w:pPr>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rFonts w:hint="eastAsia"/>
                <w:sz w:val="24"/>
                <w:szCs w:val="24"/>
              </w:rPr>
              <w:t>8</w:t>
            </w:r>
          </w:p>
        </w:tc>
        <w:tc>
          <w:tcPr>
            <w:tcW w:w="2809" w:type="dxa"/>
            <w:tcMar>
              <w:left w:w="57" w:type="dxa"/>
              <w:right w:w="57" w:type="dxa"/>
            </w:tcMar>
            <w:vAlign w:val="center"/>
          </w:tcPr>
          <w:p>
            <w:pPr>
              <w:jc w:val="center"/>
              <w:rPr>
                <w:sz w:val="24"/>
                <w:szCs w:val="24"/>
              </w:rPr>
            </w:pPr>
            <w:r>
              <w:rPr>
                <w:sz w:val="24"/>
                <w:szCs w:val="24"/>
              </w:rPr>
              <w:t>5mm以下筛分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jc w:val="center"/>
        </w:trPr>
        <w:tc>
          <w:tcPr>
            <w:tcW w:w="8717" w:type="dxa"/>
            <w:gridSpan w:val="6"/>
            <w:tcMar>
              <w:left w:w="57" w:type="dxa"/>
              <w:right w:w="57" w:type="dxa"/>
            </w:tcMar>
            <w:vAlign w:val="center"/>
          </w:tcPr>
          <w:p>
            <w:pPr>
              <w:rPr>
                <w:sz w:val="24"/>
                <w:szCs w:val="24"/>
              </w:rPr>
            </w:pPr>
            <w:r>
              <w:rPr>
                <w:rFonts w:hint="eastAsia"/>
                <w:sz w:val="24"/>
                <w:szCs w:val="24"/>
              </w:rPr>
              <w:t>注：1、</w:t>
            </w:r>
            <w:r>
              <w:rPr>
                <w:sz w:val="24"/>
                <w:szCs w:val="24"/>
              </w:rPr>
              <w:t>石料不得含有钢渣、炉渣、石灰、煤炭、风化石、树枝、煤矸石、页岩、耐火砖等杂物，不得含有大的石块或泥块</w:t>
            </w:r>
            <w:r>
              <w:rPr>
                <w:rFonts w:hint="eastAsia"/>
                <w:sz w:val="24"/>
                <w:szCs w:val="24"/>
              </w:rPr>
              <w:t>。</w:t>
            </w:r>
          </w:p>
          <w:p>
            <w:pPr>
              <w:ind w:firstLine="480" w:firstLineChars="200"/>
              <w:rPr>
                <w:sz w:val="24"/>
                <w:szCs w:val="24"/>
              </w:rPr>
            </w:pPr>
            <w:r>
              <w:rPr>
                <w:rFonts w:hint="eastAsia"/>
                <w:sz w:val="24"/>
                <w:szCs w:val="24"/>
              </w:rPr>
              <w:t>2、</w:t>
            </w:r>
            <w:r>
              <w:rPr>
                <w:sz w:val="24"/>
                <w:szCs w:val="24"/>
              </w:rPr>
              <w:t>石料的坚固性、有机物含量及碱活性等指标执行国家相关标准</w:t>
            </w:r>
            <w:r>
              <w:rPr>
                <w:rFonts w:hint="eastAsia"/>
                <w:sz w:val="24"/>
                <w:szCs w:val="24"/>
              </w:rPr>
              <w:t>。</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3.砂石扣水标准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公司明确砂石材料水分扣减标准，以下为参考值：</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（1）石料水份实测值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2.0%，不扣水份；石料水份＞2.0%，超出部分按实测值进行扣除。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（2）砂水份实测值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6.0%，按4%进行扣除；砂水份实测值＞6.0%，且</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10.0%，按实测值-2%进行扣除；砂水份实测值＞10.0%，按实测值进行扣除。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（3）特殊情况下砂石扣水标准由公司统一发布并执行。</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公司可根据外部市场环境变化，进行相应原材料质量指标的调整，执行实时质量指令。</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四、竞标采购办法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1.采购周期</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公司根据预期的生产计划，每10-15天竞标采购一次，并提前</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天发布</w:t>
      </w:r>
      <w:r>
        <w:rPr>
          <w:rFonts w:ascii="仿宋_GB2312" w:hAnsi="Times New Roman" w:eastAsia="仿宋_GB2312" w:cs="Times New Roman"/>
          <w:sz w:val="32"/>
          <w:szCs w:val="32"/>
        </w:rPr>
        <w:t>招标</w:t>
      </w:r>
      <w:r>
        <w:rPr>
          <w:rFonts w:hint="eastAsia" w:ascii="仿宋_GB2312" w:hAnsi="Times New Roman" w:eastAsia="仿宋_GB2312" w:cs="Times New Roman"/>
          <w:sz w:val="32"/>
          <w:szCs w:val="32"/>
        </w:rPr>
        <w:t>公告。</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2.采购数量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每期竞标采购将分解成若干标的，到港原则上每标的3万吨。</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3.报价要求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（1）每期采购</w:t>
      </w:r>
      <w:r>
        <w:rPr>
          <w:rFonts w:ascii="仿宋_GB2312" w:hAnsi="Times New Roman" w:eastAsia="仿宋_GB2312" w:cs="Times New Roman"/>
          <w:sz w:val="32"/>
          <w:szCs w:val="32"/>
        </w:rPr>
        <w:t>招</w:t>
      </w:r>
      <w:r>
        <w:rPr>
          <w:rFonts w:hint="eastAsia" w:ascii="仿宋_GB2312" w:hAnsi="Times New Roman" w:eastAsia="仿宋_GB2312" w:cs="Times New Roman"/>
          <w:sz w:val="32"/>
          <w:szCs w:val="32"/>
        </w:rPr>
        <w:t>标公告中公司将注明付款方式，竞标人参与竞价即代表认可公告中所对应的付款方式，并根据该付款方式作出报价。竞标人报价文件中不得改动公告中所载明的付款方式，否则为无效报价，作废标处理。</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（2）竞价交易采取一轮报价，报价全部为到达指定码头的含税靠港价，竞标人需提供增值税专用发票，</w:t>
      </w:r>
      <w:r>
        <w:rPr>
          <w:rFonts w:ascii="仿宋_GB2312" w:hAnsi="Times New Roman" w:eastAsia="仿宋_GB2312" w:cs="Times New Roman"/>
          <w:sz w:val="32"/>
          <w:szCs w:val="32"/>
        </w:rPr>
        <w:t>所报单</w:t>
      </w:r>
      <w:r>
        <w:rPr>
          <w:rFonts w:ascii="仿宋_GB2312" w:hAnsi="Times New Roman" w:eastAsia="仿宋_GB2312" w:cs="Times New Roman"/>
          <w:color w:val="000000"/>
          <w:sz w:val="32"/>
          <w:szCs w:val="32"/>
        </w:rPr>
        <w:t>价均按3%税率填报，</w:t>
      </w:r>
      <w:r>
        <w:rPr>
          <w:rFonts w:hint="eastAsia" w:ascii="仿宋_GB2312" w:hAnsi="Times New Roman" w:eastAsia="仿宋_GB2312" w:cs="Times New Roman"/>
          <w:color w:val="000000"/>
          <w:sz w:val="32"/>
          <w:szCs w:val="32"/>
        </w:rPr>
        <w:t>如竞标人对船运到港材料有13%税率要求的，竞标人需接受3%税率中标价基础上加价4元/吨为结算价，在评标时排序优先。</w:t>
      </w:r>
    </w:p>
    <w:p>
      <w:pPr>
        <w:spacing w:line="560" w:lineRule="exact"/>
        <w:ind w:firstLine="640" w:firstLineChars="200"/>
        <w:rPr>
          <w:rFonts w:ascii="宋体" w:hAnsi="宋体" w:cs="宋体"/>
          <w:color w:val="FF0000"/>
          <w:kern w:val="0"/>
          <w:sz w:val="28"/>
          <w:szCs w:val="28"/>
        </w:rPr>
      </w:pPr>
      <w:r>
        <w:rPr>
          <w:rFonts w:hint="eastAsia" w:ascii="仿宋_GB2312" w:hAnsi="仿宋_GB2312" w:eastAsia="仿宋_GB2312" w:cs="仿宋_GB2312"/>
          <w:sz w:val="32"/>
          <w:szCs w:val="32"/>
        </w:rPr>
        <w:t>（3）每个竞标人可竞标一种或多种产品，但每种产品最多只能参与两个标的竞标，</w:t>
      </w:r>
      <w:r>
        <w:rPr>
          <w:rFonts w:hint="eastAsia" w:ascii="宋体" w:hAnsi="宋体" w:cs="宋体"/>
          <w:color w:val="FF0000"/>
          <w:kern w:val="0"/>
          <w:sz w:val="28"/>
          <w:szCs w:val="28"/>
        </w:rPr>
        <w:t>一个户名两种产品竞拍总量不得超过6万吨。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（4）报价文件由竞标人法定代表人或其授权委托代理人签名并加盖公章。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（5）报价高于最高限价(开标当天公示)的或竞标份数高于最高竞标份数的，为无效报价；竞标报价单如有计算错误或不按公告载明的交易量进行报价的，为无效报价。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（6）竞标报价单中应明确产品种类、数量、单价，币种为人民币。报价单价单位为：元/吨，保留至小数点后两位。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（7）报价文件一式两份（一正一副），</w:t>
      </w:r>
      <w:r>
        <w:rPr>
          <w:rFonts w:ascii="仿宋_GB2312" w:hAnsi="仿宋_GB2312" w:eastAsia="仿宋_GB2312" w:cs="仿宋_GB2312"/>
          <w:sz w:val="32"/>
          <w:szCs w:val="32"/>
        </w:rPr>
        <w:t>报价单</w:t>
      </w:r>
      <w:r>
        <w:rPr>
          <w:rFonts w:hint="eastAsia" w:ascii="仿宋_GB2312" w:hAnsi="仿宋_GB2312" w:eastAsia="仿宋_GB2312" w:cs="仿宋_GB2312"/>
          <w:sz w:val="32"/>
          <w:szCs w:val="32"/>
        </w:rPr>
        <w:t>上清晰标记“正本”或“副本”，正、副本报价不一致时以“正本”为准。正本及副本合并在一个档案袋中密封包装，封口处须加盖公章密封，外包装须写明该报价文件对应的公告（竞标交易编号）。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外包装</w:t>
      </w:r>
      <w:r>
        <w:rPr>
          <w:rFonts w:hint="eastAsia" w:ascii="仿宋_GB2312" w:hAnsi="仿宋_GB2312" w:eastAsia="仿宋_GB2312" w:cs="仿宋_GB2312"/>
          <w:sz w:val="32"/>
          <w:szCs w:val="32"/>
        </w:rPr>
        <w:t>未按要求密封</w:t>
      </w:r>
      <w:r>
        <w:rPr>
          <w:rFonts w:ascii="仿宋_GB2312" w:hAnsi="仿宋_GB2312" w:eastAsia="仿宋_GB2312" w:cs="仿宋_GB2312"/>
          <w:sz w:val="32"/>
          <w:szCs w:val="32"/>
        </w:rPr>
        <w:t>、加盖公章</w:t>
      </w:r>
      <w:r>
        <w:rPr>
          <w:rFonts w:hint="eastAsia" w:ascii="仿宋_GB2312" w:hAnsi="仿宋_GB2312" w:eastAsia="仿宋_GB2312" w:cs="仿宋_GB2312"/>
          <w:sz w:val="32"/>
          <w:szCs w:val="32"/>
        </w:rPr>
        <w:t>和加注</w:t>
      </w:r>
      <w:r>
        <w:rPr>
          <w:rFonts w:ascii="仿宋_GB2312" w:hAnsi="仿宋_GB2312" w:eastAsia="仿宋_GB2312" w:cs="仿宋_GB2312"/>
          <w:sz w:val="32"/>
          <w:szCs w:val="32"/>
        </w:rPr>
        <w:t>竞标交易编号</w:t>
      </w:r>
      <w:r>
        <w:rPr>
          <w:rFonts w:hint="eastAsia" w:ascii="仿宋_GB2312" w:hAnsi="仿宋_GB2312" w:eastAsia="仿宋_GB2312" w:cs="仿宋_GB2312"/>
          <w:sz w:val="32"/>
          <w:szCs w:val="32"/>
        </w:rPr>
        <w:t>的报价文件，公司一律不予接收。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（9）竞标人如中标，在合同履约期间价格保持不变，不因市场波动而调价，因市场价格波动引起的风险由双方各自承担。</w:t>
      </w:r>
    </w:p>
    <w:p>
      <w:pPr>
        <w:spacing w:line="560" w:lineRule="exact"/>
        <w:ind w:firstLine="640" w:firstLineChars="200"/>
        <w:rPr>
          <w:rFonts w:ascii="仿宋" w:hAnsi="仿宋" w:eastAsia="仿宋" w:cs="黑体"/>
          <w:color w:val="FF0000"/>
          <w:sz w:val="32"/>
          <w:szCs w:val="32"/>
        </w:rPr>
      </w:pPr>
      <w:r>
        <w:rPr>
          <w:rFonts w:hint="eastAsia" w:ascii="仿宋_GB2312" w:hAnsi="仿宋_GB2312" w:eastAsia="仿宋_GB2312" w:cs="仿宋_GB2312"/>
          <w:sz w:val="32"/>
          <w:szCs w:val="32"/>
        </w:rPr>
        <w:t>（10）竞标人中标后需按公司计划要求按时足量供应，除不可抗力因素外，无论何种因素导致的供应不及时或供应量不足而影响到公司混凝土生产的，则对中标人未完成余量部分按3元/吨从履约保证金中扣除，最高为履约保证金扣完为止。</w:t>
      </w:r>
      <w:r>
        <w:rPr>
          <w:rFonts w:hint="eastAsia" w:ascii="仿宋" w:hAnsi="仿宋" w:eastAsia="仿宋" w:cs="黑体"/>
          <w:color w:val="FF0000"/>
          <w:sz w:val="32"/>
          <w:szCs w:val="32"/>
        </w:rPr>
        <w:t>因公司遇到国家法律法规、政策、疫情原因等特殊情况导致减产或库满而要求中标单位减量供应或延时供货的，竞标人不以减量或延时供货原因调整价格。</w:t>
      </w:r>
    </w:p>
    <w:p>
      <w:pPr>
        <w:spacing w:line="560" w:lineRule="exact"/>
        <w:ind w:firstLine="640" w:firstLineChars="200"/>
        <w:rPr>
          <w:rFonts w:ascii="仿宋_GB2312" w:hAnsi="仿宋_GB2312" w:eastAsia="仿宋_GB2312" w:cs="仿宋_GB2312"/>
          <w:color w:val="FF0000"/>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4.交货地点</w:t>
      </w:r>
    </w:p>
    <w:p>
      <w:pPr>
        <w:pStyle w:val="2"/>
      </w:pPr>
    </w:p>
    <w:p/>
    <w:p>
      <w:pPr>
        <w:spacing w:line="560" w:lineRule="exact"/>
        <w:ind w:firstLine="420" w:firstLineChars="200"/>
      </w:pPr>
    </w:p>
    <w:tbl>
      <w:tblPr>
        <w:tblStyle w:val="12"/>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772"/>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类别</w:t>
            </w: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名称</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码头</w:t>
            </w: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古雄</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南京市雨花台区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海华</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南京经济技术开发区</w:t>
            </w:r>
            <w:r>
              <w:rPr>
                <w:rFonts w:ascii="宋体" w:hAnsi="宋体" w:eastAsia="宋体" w:cs="宋体"/>
                <w:sz w:val="24"/>
                <w:szCs w:val="24"/>
              </w:rPr>
              <w:t>新港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远锦</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color w:val="FF0000"/>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快捷</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安徽省马鞍山市花山区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color w:val="FF0000"/>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金固</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安徽省马鞍山市和县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color w:val="FF0000"/>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七坝</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南京市浦口区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color w:val="FF0000"/>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海宏</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color w:val="FF0000"/>
                <w:sz w:val="24"/>
                <w:szCs w:val="24"/>
              </w:rPr>
            </w:pPr>
          </w:p>
        </w:tc>
        <w:tc>
          <w:tcPr>
            <w:tcW w:w="1772" w:type="dxa"/>
            <w:vAlign w:val="center"/>
          </w:tcPr>
          <w:p>
            <w:pPr>
              <w:spacing w:line="360" w:lineRule="auto"/>
              <w:jc w:val="center"/>
              <w:rPr>
                <w:rFonts w:ascii="宋体" w:hAnsi="宋体" w:eastAsia="宋体" w:cs="宋体"/>
                <w:color w:val="FF0000"/>
                <w:sz w:val="24"/>
                <w:szCs w:val="24"/>
              </w:rPr>
            </w:pPr>
            <w:r>
              <w:rPr>
                <w:rFonts w:hint="eastAsia" w:ascii="宋体" w:hAnsi="宋体" w:eastAsia="宋体" w:cs="宋体"/>
                <w:sz w:val="24"/>
                <w:szCs w:val="24"/>
              </w:rPr>
              <w:t>关门桥</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南京市六合区关门桥路</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5.计量方式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采购产品一律以本公司实际称重数量，并扣减水分后为结算数量。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6.评标方式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（1）公司设立专门的评标委员会，负责评标工作，同时本公司纪检人员全程参与监督。</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（2）评标办法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评标坚持以价格为主导，在独立开标室内现场公开开标，全程录像，评标依据竞标人有效报价由低到高排序，依次确定竞得人，直至标的数排满为止。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如出现竞标人报价相同的情况，根据以下办法执行：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①在未开始竞标人评级的情况下，对相同报价的竞标人，实行平均分配。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②在已进行竞标人评级的情况下，依据竞标人评级排名，A级最先，B级次之，依次类推；对评级与报价均相同的竞标人，实行平均分配。</w:t>
      </w:r>
    </w:p>
    <w:p>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③公司设定</w:t>
      </w:r>
      <w:r>
        <w:rPr>
          <w:rFonts w:hint="eastAsia" w:ascii="仿宋_GB2312" w:hAnsi="Times New Roman" w:eastAsia="仿宋_GB2312" w:cs="Times New Roman"/>
          <w:sz w:val="32"/>
          <w:szCs w:val="32"/>
        </w:rPr>
        <w:t>最高限价，</w:t>
      </w:r>
      <w:r>
        <w:rPr>
          <w:rFonts w:hint="eastAsia" w:ascii="仿宋_GB2312" w:hAnsi="Times New Roman" w:eastAsia="仿宋_GB2312" w:cs="Times New Roman"/>
          <w:color w:val="000000"/>
          <w:sz w:val="32"/>
          <w:szCs w:val="32"/>
        </w:rPr>
        <w:t>最高限价于开标前由公司确定</w:t>
      </w:r>
      <w:r>
        <w:rPr>
          <w:rFonts w:hint="eastAsia" w:ascii="仿宋_GB2312" w:hAnsi="Times New Roman" w:eastAsia="仿宋_GB2312" w:cs="Times New Roman"/>
          <w:sz w:val="32"/>
          <w:szCs w:val="32"/>
        </w:rPr>
        <w:t>，并密封盖章，开标当日由纪检监督人员开封并宣布。竞标人报价高于最高限价的，为无效报价。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（3）竞标流程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①公司纪检监督人员宣布竞标纪律，并开封、宣布最高限价。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②主持人随机抽取2名竞标人代表检查所有报价文件的密封情况。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③工作人员当众开启竞标人报价文件，并宣读竞标人名称、报价及</w:t>
      </w:r>
      <w:r>
        <w:rPr>
          <w:rFonts w:ascii="仿宋_GB2312" w:hAnsi="仿宋_GB2312" w:eastAsia="仿宋_GB2312" w:cs="仿宋_GB2312"/>
          <w:sz w:val="32"/>
          <w:szCs w:val="32"/>
        </w:rPr>
        <w:t>竞标</w:t>
      </w:r>
      <w:r>
        <w:rPr>
          <w:rFonts w:hint="eastAsia" w:ascii="仿宋_GB2312" w:hAnsi="仿宋_GB2312" w:eastAsia="仿宋_GB2312" w:cs="仿宋_GB2312"/>
          <w:sz w:val="32"/>
          <w:szCs w:val="32"/>
        </w:rPr>
        <w:t>份数。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④相关工作人员及竞标人在竞标记录上签名确认。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⑤公司按竞标评审原则确定竞标产品的竞得人。</w:t>
      </w:r>
    </w:p>
    <w:p>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⑥</w:t>
      </w:r>
      <w:r>
        <w:rPr>
          <w:rFonts w:hint="eastAsia" w:ascii="仿宋_GB2312" w:hAnsi="仿宋_GB2312" w:eastAsia="仿宋_GB2312" w:cs="仿宋_GB2312"/>
          <w:sz w:val="32"/>
          <w:szCs w:val="32"/>
        </w:rPr>
        <w:t>主持人宣布竞标产品的竞得人及其报价、竞</w:t>
      </w:r>
      <w:r>
        <w:rPr>
          <w:rFonts w:ascii="仿宋_GB2312" w:hAnsi="仿宋_GB2312" w:eastAsia="仿宋_GB2312" w:cs="仿宋_GB2312"/>
          <w:sz w:val="32"/>
          <w:szCs w:val="32"/>
        </w:rPr>
        <w:t>标</w:t>
      </w:r>
      <w:r>
        <w:rPr>
          <w:rFonts w:hint="eastAsia" w:ascii="仿宋_GB2312" w:hAnsi="仿宋_GB2312" w:eastAsia="仿宋_GB2312" w:cs="仿宋_GB2312"/>
          <w:sz w:val="32"/>
          <w:szCs w:val="32"/>
        </w:rPr>
        <w:t>标的份数。</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7、成交确认、合同签订</w:t>
      </w:r>
      <w:r>
        <w:rPr>
          <w:rFonts w:hint="eastAsia" w:ascii="仿宋_GB2312" w:hAnsi="仿宋_GB2312" w:eastAsia="仿宋_GB2312" w:cs="仿宋_GB2312"/>
          <w:color w:val="FF0000"/>
          <w:sz w:val="32"/>
          <w:szCs w:val="32"/>
        </w:rPr>
        <w:t xml:space="preserve"> </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（1）竞标结果公布后，竞得人的法定代表人或授权委托代理人须当场签订《成交确认书》。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（2）竞得人须在《成交确认书》签订后1个工作日内签订《混凝土原材料采购合同(砂石)》。</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依据本办法实施的砂石材料竞标采购由公司统一组织，并由公司或公司下设分公司与竞得人签订合同。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8.竞标人须知</w:t>
      </w:r>
    </w:p>
    <w:p>
      <w:pPr>
        <w:spacing w:line="560" w:lineRule="exact"/>
        <w:ind w:firstLine="640" w:firstLineChars="200"/>
        <w:rPr>
          <w:rFonts w:ascii="仿宋_GB2312" w:hAnsi="仿宋_GB2312" w:eastAsia="仿宋_GB2312" w:cs="仿宋_GB2312"/>
          <w:sz w:val="32"/>
          <w:szCs w:val="32"/>
        </w:rPr>
      </w:pPr>
      <w:bookmarkStart w:id="0" w:name="_Toc76726855"/>
      <w:bookmarkStart w:id="1" w:name="_Toc76404421"/>
      <w:r>
        <w:rPr>
          <w:rFonts w:hint="eastAsia" w:ascii="仿宋_GB2312" w:hAnsi="仿宋_GB2312" w:eastAsia="仿宋_GB2312" w:cs="仿宋_GB2312"/>
          <w:sz w:val="32"/>
          <w:szCs w:val="32"/>
        </w:rPr>
        <w:t>（1）竞标人资格要求</w:t>
      </w:r>
      <w:bookmarkEnd w:id="0"/>
      <w:bookmarkEnd w:id="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①竞标人须为法人企业。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②竞标人具有良好的社会信誉，未被国家相关机构列入失信企业名单。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③竞标人未被公司列入不合格供应商。</w:t>
      </w:r>
    </w:p>
    <w:p>
      <w:pPr>
        <w:spacing w:line="560" w:lineRule="exact"/>
        <w:ind w:firstLine="640" w:firstLineChars="200"/>
        <w:rPr>
          <w:rFonts w:asciiTheme="minorEastAsia" w:hAnsiTheme="minorEastAsia" w:cstheme="minorEastAsia"/>
          <w:b/>
          <w:bCs/>
          <w:sz w:val="32"/>
          <w:szCs w:val="32"/>
        </w:rPr>
      </w:pPr>
      <w:r>
        <w:rPr>
          <w:rFonts w:hint="eastAsia" w:ascii="仿宋_GB2312" w:hAnsi="仿宋_GB2312" w:eastAsia="仿宋_GB2312" w:cs="仿宋_GB2312"/>
          <w:sz w:val="32"/>
          <w:szCs w:val="32"/>
        </w:rPr>
        <w:t>④不接受联合体竞标。</w:t>
      </w:r>
    </w:p>
    <w:p>
      <w:pPr>
        <w:spacing w:line="560" w:lineRule="exact"/>
        <w:ind w:firstLine="640" w:firstLineChars="200"/>
        <w:rPr>
          <w:rFonts w:ascii="仿宋_GB2312" w:hAnsi="Times New Roman" w:eastAsia="仿宋_GB2312" w:cs="Times New Roman"/>
          <w:sz w:val="32"/>
          <w:szCs w:val="32"/>
        </w:rPr>
      </w:pPr>
      <w:bookmarkStart w:id="2" w:name="_Toc76726856"/>
      <w:bookmarkStart w:id="3" w:name="_Toc76404422"/>
      <w:r>
        <w:rPr>
          <w:rFonts w:hint="eastAsia" w:ascii="仿宋_GB2312" w:hAnsi="仿宋_GB2312" w:eastAsia="仿宋_GB2312" w:cs="仿宋_GB2312"/>
          <w:sz w:val="32"/>
          <w:szCs w:val="32"/>
        </w:rPr>
        <w:t>⑤首次参加公司竞标的竞标人，需提交以下资料</w:t>
      </w:r>
      <w:bookmarkEnd w:id="2"/>
      <w:bookmarkEnd w:id="3"/>
      <w:r>
        <w:rPr>
          <w:rFonts w:hint="eastAsia" w:ascii="仿宋_GB2312" w:hAnsi="仿宋_GB2312" w:eastAsia="仿宋_GB2312" w:cs="仿宋_GB2312"/>
          <w:sz w:val="32"/>
          <w:szCs w:val="32"/>
        </w:rPr>
        <w:t>进行资格预审：营业执照、法定代表</w:t>
      </w:r>
      <w:r>
        <w:rPr>
          <w:rFonts w:hint="eastAsia" w:ascii="仿宋_GB2312" w:hAnsi="Times New Roman" w:eastAsia="仿宋_GB2312" w:cs="Times New Roman"/>
          <w:sz w:val="32"/>
          <w:szCs w:val="32"/>
        </w:rPr>
        <w:t xml:space="preserve">人身份证与授权委托书、授权委托代理人身份证。以上资料需提交进行核验（法定代表人参与投标无需提供3、4项），并提供加盖公章且由法定代表人（或授权委托代理人）签名的复印件，在竞标人报名时提交，复印件由公司留存，不予退还。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⑥已参与公司前期竞标交易的合格竞标人（以下称为有效期内的合格竞标人），若继续报名参与后续竞标交易，不再进行资格预审。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⑦合格竞标人的资格有效期为12个月。有效期内经查实合格竞标人有重大变更情况后不符合资格预审要求，本公司将取消其合格竞标人资格。</w:t>
      </w:r>
    </w:p>
    <w:p>
      <w:pPr>
        <w:numPr>
          <w:ilvl w:val="0"/>
          <w:numId w:val="2"/>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保证金的交纳与处置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每个竞标人每次参与竞标时须交纳竞标保证金，每种产品竞标保证金为人民币</w:t>
      </w:r>
      <w:r>
        <w:rPr>
          <w:rFonts w:hint="eastAsia" w:ascii="仿宋_GB2312" w:hAnsi="Times New Roman" w:eastAsia="仿宋_GB2312" w:cs="Times New Roman"/>
          <w:color w:val="FF0000"/>
          <w:sz w:val="32"/>
          <w:szCs w:val="32"/>
        </w:rPr>
        <w:t>10</w:t>
      </w:r>
      <w:r>
        <w:rPr>
          <w:rFonts w:hint="eastAsia" w:ascii="仿宋_GB2312" w:hAnsi="Times New Roman" w:eastAsia="仿宋_GB2312" w:cs="Times New Roman"/>
          <w:sz w:val="32"/>
          <w:szCs w:val="32"/>
        </w:rPr>
        <w:t>万元。未竞得人的竞标保证金，公司在竞标交易结果公布后5个工作日内，一次性无息退还；竞得人的竞标保证金转为履约保证金，在竞得人本期标的正常履约结束后5个工作日内无息退还履约保证金。为方便参与投标，竞标人主动要求长期将保证金存放在本公司的可填写《自愿承诺书》并加盖公章签字</w:t>
      </w:r>
      <w:r>
        <w:rPr>
          <w:rFonts w:hint="eastAsia" w:ascii="仿宋_GB2312" w:hAnsi="Times New Roman" w:eastAsia="仿宋_GB2312" w:cs="Times New Roman"/>
          <w:b/>
          <w:bCs/>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竞得人中标后未按规定签订《成交确认书》、或未按规定签订《混凝土原材料采购合同(砂石)》，公司将取消其竞标资格，</w:t>
      </w:r>
      <w:r>
        <w:rPr>
          <w:rFonts w:ascii="仿宋_GB2312" w:hAnsi="Times New Roman" w:eastAsia="仿宋_GB2312" w:cs="Times New Roman"/>
          <w:sz w:val="32"/>
          <w:szCs w:val="32"/>
        </w:rPr>
        <w:t>竞标</w:t>
      </w:r>
      <w:r>
        <w:rPr>
          <w:rFonts w:hint="eastAsia" w:ascii="仿宋_GB2312" w:hAnsi="Times New Roman" w:eastAsia="仿宋_GB2312" w:cs="Times New Roman"/>
          <w:sz w:val="32"/>
          <w:szCs w:val="32"/>
        </w:rPr>
        <w:t>保证金不予退还。</w:t>
      </w:r>
    </w:p>
    <w:p>
      <w:pPr>
        <w:numPr>
          <w:ilvl w:val="0"/>
          <w:numId w:val="2"/>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货源合法性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竞标人须保证原材料来源合规、合法，满足质量进场验收标准，服从公司相关管理规定。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五、竞标人评级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1.等级标准与评级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（1）公司对竞标人实行分级评定，评定以履约效果（履约频次、计划完成率、供货时效性、产品质量等）为依据：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标人中标后连续正常履约两次，评为D级，为一般供应商；竞标人中标后连续正常履约四次，评为C级，为稳定供应商；竞标人中标后连续正常履约六次，评为B级，为诚信供应商；竞标人中标后连续正常履约八次，评为A级，为核心供应商。供应商参与竞标但没有中标不影响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（2）竞标人凡出现一次不能正常履约的情况，将自动降低一个等级。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2.对A级、B级供应商，公司将给予特别优惠政策</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（1）公司每次竞标时，将随机预留若干标的。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（2）如B级供应商参与竞标但没有中标，公司将按照同种产品中标价的平均值，在预留标的中安排1个协商给其供货。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（3）如A级供应商参与竞标但没有中标，公司将按照同种产品中标价的平均值，在预留标的中安排2个协商给其供货。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（4）对A级、B级供应商的优惠政策为自愿享受，供应商也可放弃，且放弃享受不影响其原有评级结果；但如享受并签订合同后未能正常履约，将按照评级办法下降一个等级。</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六、附则</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1.本办法由南京中联混凝土有限公司负责解释，将对供应商广泛宣传。</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2.公司有权对本办法进行修改，并将修改情况及时公告。</w:t>
      </w:r>
    </w:p>
    <w:p>
      <w:pPr>
        <w:spacing w:line="560" w:lineRule="exact"/>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附件：1.授权委托书样本</w:t>
      </w: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2.竞标交易承诺书样本</w:t>
      </w: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3.成交确认书样本</w:t>
      </w:r>
    </w:p>
    <w:p>
      <w:pPr>
        <w:spacing w:line="560" w:lineRule="exact"/>
        <w:ind w:firstLine="1600" w:firstLineChars="500"/>
        <w:rPr>
          <w:rFonts w:eastAsia="仿宋_GB2312"/>
        </w:rPr>
      </w:pPr>
      <w:r>
        <w:rPr>
          <w:rFonts w:hint="eastAsia" w:ascii="仿宋_GB2312" w:hAnsi="Times New Roman" w:eastAsia="仿宋_GB2312" w:cs="Times New Roman"/>
          <w:sz w:val="32"/>
          <w:szCs w:val="32"/>
        </w:rPr>
        <w:t>4.</w:t>
      </w:r>
      <w:r>
        <w:rPr>
          <w:rFonts w:hint="eastAsia" w:ascii="仿宋_GB2312" w:hAnsi="仿宋_GB2312" w:eastAsia="仿宋_GB2312" w:cs="仿宋_GB2312"/>
          <w:kern w:val="0"/>
          <w:sz w:val="32"/>
          <w:szCs w:val="32"/>
        </w:rPr>
        <w:t>保证金长期存放</w:t>
      </w:r>
      <w:r>
        <w:rPr>
          <w:rFonts w:hint="eastAsia" w:ascii="仿宋_GB2312" w:hAnsi="Times New Roman" w:eastAsia="仿宋_GB2312" w:cs="Times New Roman"/>
          <w:sz w:val="32"/>
          <w:szCs w:val="32"/>
        </w:rPr>
        <w:t>《承诺书》样本</w:t>
      </w:r>
    </w:p>
    <w:p>
      <w:pPr>
        <w:spacing w:line="560" w:lineRule="exact"/>
        <w:rPr>
          <w:rFonts w:ascii="仿宋_GB2312" w:hAnsi="Times New Roman" w:eastAsia="仿宋_GB2312" w:cs="Times New Roman"/>
          <w:sz w:val="32"/>
          <w:szCs w:val="32"/>
        </w:rPr>
      </w:pP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
      <w:pPr>
        <w:spacing w:line="560" w:lineRule="exact"/>
        <w:ind w:firstLine="4160" w:firstLineChars="1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南京中联混凝土有限公司</w:t>
      </w:r>
    </w:p>
    <w:p>
      <w:pPr>
        <w:spacing w:line="560" w:lineRule="exact"/>
        <w:ind w:firstLine="640" w:firstLineChars="200"/>
        <w:jc w:val="center"/>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w:t>
      </w:r>
    </w:p>
    <w:p>
      <w:pPr>
        <w:spacing w:line="560" w:lineRule="exact"/>
        <w:ind w:firstLine="640" w:firstLineChars="20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rPr>
          <w:rFonts w:ascii="仿宋_GB2312" w:hAnsi="Times New Roman" w:eastAsia="仿宋_GB2312" w:cs="Times New Roman"/>
          <w:sz w:val="32"/>
          <w:szCs w:val="32"/>
        </w:rPr>
      </w:pPr>
      <w:r>
        <w:rPr>
          <w:rFonts w:hint="eastAsia" w:asciiTheme="majorEastAsia" w:hAnsiTheme="majorEastAsia" w:eastAsiaTheme="majorEastAsia"/>
          <w:b/>
          <w:bCs/>
          <w:sz w:val="32"/>
          <w:szCs w:val="32"/>
        </w:rPr>
        <w:t xml:space="preserve">附件1： </w:t>
      </w:r>
    </w:p>
    <w:p>
      <w:pPr>
        <w:widowControl/>
        <w:jc w:val="center"/>
        <w:rPr>
          <w:rFonts w:ascii="宋体" w:hAnsi="宋体" w:eastAsia="宋体" w:cs="宋体"/>
          <w:sz w:val="36"/>
          <w:szCs w:val="36"/>
        </w:rPr>
      </w:pPr>
      <w:r>
        <w:rPr>
          <w:rFonts w:hint="eastAsia" w:ascii="宋体" w:hAnsi="宋体" w:eastAsia="宋体" w:cs="宋体"/>
          <w:b/>
          <w:kern w:val="0"/>
          <w:sz w:val="36"/>
          <w:szCs w:val="36"/>
        </w:rPr>
        <w:t>申请竞标人的法定代表人授权委托书</w:t>
      </w:r>
    </w:p>
    <w:p>
      <w:pPr>
        <w:rPr>
          <w:rFonts w:ascii="仿宋_GB2312" w:hAnsi="仿宋_GB2312" w:eastAsia="仿宋_GB2312" w:cs="仿宋_GB2312"/>
          <w:kern w:val="0"/>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本人（身份证号：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公司的法定代表人，委托（身份证号：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）为本公司和本人的授权委托代理人，到贵司参与</w:t>
      </w:r>
      <w:r>
        <w:rPr>
          <w:rFonts w:hint="eastAsia" w:ascii="仿宋_GB2312" w:hAnsi="仿宋_GB2312" w:eastAsia="仿宋_GB2312" w:cs="仿宋_GB2312"/>
          <w:color w:val="FF0000"/>
          <w:kern w:val="0"/>
          <w:sz w:val="32"/>
          <w:szCs w:val="32"/>
        </w:rPr>
        <w:t>ZLSS-2022-</w:t>
      </w:r>
      <w:r>
        <w:rPr>
          <w:rFonts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kern w:val="0"/>
          <w:sz w:val="32"/>
          <w:szCs w:val="32"/>
        </w:rPr>
        <w:t>期砂石产品竞标交易的全部业务，代理权限为特别授权，包括但不限于</w:t>
      </w:r>
      <w:r>
        <w:rPr>
          <w:rFonts w:hint="eastAsia" w:ascii="仿宋_GB2312" w:hAnsi="仿宋_GB2312" w:eastAsia="仿宋_GB2312" w:cs="仿宋_GB2312"/>
          <w:kern w:val="0"/>
          <w:sz w:val="32"/>
          <w:szCs w:val="32"/>
          <w:u w:val="single"/>
        </w:rPr>
        <w:t>资格预审、存取竞标保证金、竞标报价等活动，并签署资格预审、报价函及竞标报价单等文件、洽谈、签订成交确认书、货款结算支付、签订采购合同</w:t>
      </w:r>
      <w:r>
        <w:rPr>
          <w:rFonts w:hint="eastAsia" w:ascii="仿宋_GB2312" w:hAnsi="仿宋_GB2312" w:eastAsia="仿宋_GB2312" w:cs="仿宋_GB2312"/>
          <w:kern w:val="0"/>
          <w:sz w:val="32"/>
          <w:szCs w:val="32"/>
        </w:rPr>
        <w:t>等与交易有关的全部事务，其签名真迹如本授权委托书所示，本人均认可，自愿受其所签署文件约束并承担全部法律责任。</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委托期限：自签发之日起壹年。</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授权单位（公章）：</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法定代表人（签名）：</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签发日期：2022年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widowControl/>
        <w:rPr>
          <w:rFonts w:asciiTheme="majorEastAsia" w:hAnsiTheme="majorEastAsia" w:eastAsiaTheme="majorEastAsia"/>
          <w:b/>
          <w:bCs/>
          <w:sz w:val="32"/>
          <w:szCs w:val="32"/>
        </w:rPr>
      </w:pPr>
    </w:p>
    <w:p>
      <w:pPr>
        <w:widowControl/>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附件2：</w:t>
      </w:r>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竞标交易承诺书</w:t>
      </w: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本公司已对贵公司本期竞标产品、交付场地等情况进行了全面细致地了解，现承诺如下：</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我公司已收到贵公司《砂石材料竞标采购实施办法》，已了解知悉、并完全同意该办法的全部内容，自愿遵照执行。</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2.我公司</w:t>
      </w:r>
      <w:r>
        <w:rPr>
          <w:rFonts w:hint="eastAsia" w:ascii="仿宋_GB2312" w:hAnsi="仿宋_GB2312" w:eastAsia="仿宋_GB2312" w:cs="仿宋_GB2312"/>
          <w:kern w:val="0"/>
          <w:sz w:val="32"/>
          <w:szCs w:val="32"/>
        </w:rPr>
        <w:t>提交的竞标资格文件及后续报价文件真实、合法、有效。</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我公司自愿</w:t>
      </w:r>
      <w:r>
        <w:rPr>
          <w:rFonts w:hint="eastAsia" w:ascii="仿宋_GB2312" w:hAnsi="仿宋_GB2312" w:eastAsia="仿宋_GB2312" w:cs="仿宋_GB2312"/>
          <w:kern w:val="0"/>
          <w:sz w:val="32"/>
          <w:szCs w:val="32"/>
        </w:rPr>
        <w:t>及时、足额交纳竞标保证金并接受贵公司对竞标保证金处置的条款，严格遵守本次竞标交易规则。</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知悉并完全认可贵公司采购产品的报价要求、质量标准，且保证所供应的产品合法、合规。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5.产品中标后，</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愿意按规定及时签订《成交确认书》并签订采购合同。</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6.我公司接受贵公司称重计量方式及结算量计算方法，合同执行期间不再就供货计量问题提出任何异议。</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7.合同签订后，我公司按合同约定的时间完成交货。</w:t>
      </w:r>
    </w:p>
    <w:p>
      <w:pPr>
        <w:spacing w:line="560" w:lineRule="exac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竞标人（盖章）：</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 期：2022年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pStyle w:val="10"/>
        <w:jc w:val="both"/>
        <w:rPr>
          <w:rFonts w:asciiTheme="majorEastAsia" w:hAnsiTheme="majorEastAsia" w:eastAsiaTheme="majorEastAsia"/>
        </w:rPr>
      </w:pPr>
      <w:r>
        <w:rPr>
          <w:rFonts w:hint="eastAsia" w:asciiTheme="majorEastAsia" w:hAnsiTheme="majorEastAsia" w:eastAsiaTheme="majorEastAsia" w:cstheme="minorBidi"/>
        </w:rPr>
        <w:t>附件3：</w:t>
      </w:r>
      <w:r>
        <w:rPr>
          <w:rFonts w:hint="eastAsia" w:asciiTheme="majorEastAsia" w:hAnsiTheme="majorEastAsia" w:eastAsiaTheme="majorEastAsia"/>
        </w:rPr>
        <w:t xml:space="preserve"> </w:t>
      </w:r>
      <w:bookmarkStart w:id="4" w:name="_Toc9989393"/>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成交确认书</w:t>
      </w:r>
      <w:bookmarkEnd w:id="4"/>
    </w:p>
    <w:p>
      <w:pPr>
        <w:pStyle w:val="4"/>
        <w:spacing w:line="600" w:lineRule="exact"/>
        <w:jc w:val="center"/>
        <w:rPr>
          <w:rFonts w:ascii="仿宋_GB2312" w:hAnsi="仿宋_GB2312" w:eastAsia="仿宋_GB2312" w:cs="仿宋_GB2312"/>
          <w:sz w:val="32"/>
          <w:szCs w:val="32"/>
        </w:rPr>
      </w:pPr>
    </w:p>
    <w:p>
      <w:pPr>
        <w:ind w:firstLine="640" w:firstLineChars="200"/>
        <w:rPr>
          <w:rFonts w:ascii="仿宋" w:hAnsi="仿宋" w:eastAsia="仿宋" w:cs="宋体"/>
          <w:sz w:val="32"/>
          <w:szCs w:val="32"/>
        </w:rPr>
      </w:pPr>
      <w:bookmarkStart w:id="5" w:name="_Hlk19087937"/>
      <w:r>
        <w:rPr>
          <w:rFonts w:hint="eastAsia" w:ascii="仿宋" w:hAnsi="仿宋" w:eastAsia="仿宋" w:cs="仿宋"/>
          <w:sz w:val="32"/>
          <w:szCs w:val="32"/>
          <w:lang w:bidi="ar"/>
        </w:rPr>
        <w:t>南京中联混凝土有限公司</w:t>
      </w:r>
      <w:bookmarkEnd w:id="5"/>
      <w:r>
        <w:rPr>
          <w:rFonts w:hint="eastAsia" w:ascii="仿宋" w:hAnsi="仿宋" w:eastAsia="仿宋" w:cs="宋体"/>
          <w:sz w:val="32"/>
          <w:szCs w:val="32"/>
        </w:rPr>
        <w:t>（以下简称“买方”）砂石产品竞标交易（</w:t>
      </w:r>
      <w:r>
        <w:rPr>
          <w:rFonts w:hint="eastAsia" w:ascii="仿宋" w:hAnsi="仿宋" w:eastAsia="仿宋" w:cs="宋体"/>
          <w:color w:val="FF0000"/>
          <w:sz w:val="32"/>
          <w:szCs w:val="32"/>
        </w:rPr>
        <w:t>ZLSS</w:t>
      </w:r>
      <w:r>
        <w:rPr>
          <w:rFonts w:ascii="仿宋" w:hAnsi="仿宋" w:eastAsia="仿宋" w:cs="宋体"/>
          <w:color w:val="FF0000"/>
          <w:sz w:val="32"/>
          <w:szCs w:val="32"/>
        </w:rPr>
        <w:t>-20</w:t>
      </w:r>
      <w:r>
        <w:rPr>
          <w:rFonts w:hint="eastAsia" w:ascii="仿宋" w:hAnsi="仿宋" w:eastAsia="仿宋" w:cs="宋体"/>
          <w:color w:val="FF0000"/>
          <w:sz w:val="32"/>
          <w:szCs w:val="32"/>
        </w:rPr>
        <w:t>22</w:t>
      </w:r>
      <w:r>
        <w:rPr>
          <w:rFonts w:ascii="仿宋" w:hAnsi="仿宋" w:eastAsia="仿宋" w:cs="宋体"/>
          <w:color w:val="FF0000"/>
          <w:sz w:val="32"/>
          <w:szCs w:val="32"/>
        </w:rPr>
        <w:t>-</w:t>
      </w:r>
      <w:r>
        <w:rPr>
          <w:rFonts w:hint="eastAsia" w:ascii="仿宋" w:hAnsi="仿宋" w:eastAsia="仿宋" w:cs="宋体"/>
          <w:color w:val="FF0000"/>
          <w:sz w:val="32"/>
          <w:szCs w:val="32"/>
          <w:u w:val="single"/>
        </w:rPr>
        <w:t xml:space="preserve">  </w:t>
      </w:r>
      <w:r>
        <w:rPr>
          <w:rFonts w:hint="eastAsia" w:ascii="仿宋" w:hAnsi="仿宋" w:eastAsia="仿宋" w:cs="宋体"/>
          <w:sz w:val="32"/>
          <w:szCs w:val="32"/>
        </w:rPr>
        <w:t>期）现已结束，买方与竞得人对成交结果确认如下：</w:t>
      </w:r>
    </w:p>
    <w:p>
      <w:pPr>
        <w:pStyle w:val="9"/>
        <w:widowControl/>
        <w:numPr>
          <w:ilvl w:val="0"/>
          <w:numId w:val="3"/>
        </w:numPr>
        <w:ind w:firstLine="640" w:firstLineChars="200"/>
        <w:rPr>
          <w:rFonts w:ascii="仿宋" w:hAnsi="仿宋" w:eastAsia="仿宋" w:cs="宋体"/>
          <w:sz w:val="32"/>
          <w:szCs w:val="32"/>
        </w:rPr>
      </w:pPr>
      <w:r>
        <w:rPr>
          <w:rFonts w:hint="eastAsia" w:ascii="仿宋" w:hAnsi="仿宋" w:eastAsia="仿宋" w:cs="仿宋"/>
          <w:sz w:val="32"/>
          <w:szCs w:val="32"/>
        </w:rPr>
        <w:t>竞得人此前已认真阅读并</w:t>
      </w:r>
      <w:r>
        <w:rPr>
          <w:rFonts w:ascii="仿宋" w:hAnsi="仿宋" w:eastAsia="仿宋" w:cs="仿宋"/>
          <w:sz w:val="32"/>
          <w:szCs w:val="32"/>
        </w:rPr>
        <w:t>知悉</w:t>
      </w:r>
      <w:r>
        <w:rPr>
          <w:rFonts w:hint="eastAsia" w:ascii="仿宋" w:hAnsi="仿宋" w:eastAsia="仿宋" w:cs="仿宋"/>
          <w:sz w:val="32"/>
          <w:szCs w:val="32"/>
        </w:rPr>
        <w:t>买方《砂石材料竞标采购实施办法》和编号：</w:t>
      </w:r>
      <w:r>
        <w:rPr>
          <w:rFonts w:hint="eastAsia" w:ascii="仿宋" w:hAnsi="仿宋" w:eastAsia="仿宋" w:cs="仿宋"/>
          <w:color w:val="FF0000"/>
          <w:sz w:val="32"/>
          <w:szCs w:val="32"/>
        </w:rPr>
        <w:t>ZLSS-2022-</w:t>
      </w:r>
      <w:r>
        <w:rPr>
          <w:rFonts w:hint="eastAsia" w:ascii="仿宋" w:hAnsi="仿宋" w:eastAsia="仿宋" w:cs="仿宋"/>
          <w:color w:val="FF0000"/>
          <w:sz w:val="32"/>
          <w:szCs w:val="32"/>
          <w:u w:val="single"/>
        </w:rPr>
        <w:t xml:space="preserve">   </w:t>
      </w:r>
      <w:r>
        <w:rPr>
          <w:rFonts w:hint="eastAsia" w:ascii="仿宋" w:hAnsi="仿宋" w:eastAsia="仿宋" w:cs="仿宋"/>
          <w:color w:val="FF0000"/>
          <w:sz w:val="32"/>
          <w:szCs w:val="32"/>
        </w:rPr>
        <w:t>期</w:t>
      </w:r>
      <w:r>
        <w:rPr>
          <w:rFonts w:hint="eastAsia" w:ascii="仿宋" w:hAnsi="仿宋" w:eastAsia="仿宋" w:cs="仿宋"/>
          <w:sz w:val="32"/>
          <w:szCs w:val="32"/>
        </w:rPr>
        <w:t>《竞标交易公告》</w:t>
      </w:r>
      <w:r>
        <w:rPr>
          <w:rFonts w:hint="eastAsia" w:ascii="仿宋" w:hAnsi="仿宋" w:eastAsia="仿宋" w:cs="宋体"/>
          <w:sz w:val="32"/>
          <w:szCs w:val="32"/>
        </w:rPr>
        <w:t>的全部内容，接受上述文件中的所有规定及要求，提交了合格的资格预审所需资料及竞标交易承诺书，按要求交纳了</w:t>
      </w:r>
      <w:r>
        <w:rPr>
          <w:rFonts w:ascii="仿宋" w:hAnsi="仿宋" w:eastAsia="仿宋" w:cs="宋体"/>
          <w:sz w:val="32"/>
          <w:szCs w:val="32"/>
        </w:rPr>
        <w:t>竞标</w:t>
      </w:r>
      <w:r>
        <w:rPr>
          <w:rFonts w:hint="eastAsia" w:ascii="仿宋" w:hAnsi="仿宋" w:eastAsia="仿宋" w:cs="宋体"/>
          <w:sz w:val="32"/>
          <w:szCs w:val="32"/>
        </w:rPr>
        <w:t>保证金，获得了参与本期产品竞标的资格。</w:t>
      </w:r>
    </w:p>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二、</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Calibri" w:hAnsi="Calibri" w:eastAsia="仿宋" w:cs="Calibri"/>
          <w:sz w:val="32"/>
          <w:szCs w:val="32"/>
          <w:u w:val="single"/>
        </w:rPr>
        <w:t> </w:t>
      </w:r>
      <w:r>
        <w:rPr>
          <w:rFonts w:hint="eastAsia" w:ascii="仿宋" w:hAnsi="仿宋" w:eastAsia="仿宋" w:cs="宋体"/>
          <w:sz w:val="32"/>
          <w:szCs w:val="32"/>
        </w:rPr>
        <w:t>（以下简称“竞得人”）竞得买方第</w:t>
      </w:r>
      <w:r>
        <w:rPr>
          <w:rFonts w:hint="eastAsia" w:ascii="仿宋" w:hAnsi="仿宋" w:eastAsia="仿宋" w:cs="宋体"/>
          <w:color w:val="FF0000"/>
          <w:sz w:val="32"/>
          <w:szCs w:val="32"/>
        </w:rPr>
        <w:t>ZLSS</w:t>
      </w:r>
      <w:r>
        <w:rPr>
          <w:rFonts w:ascii="仿宋" w:hAnsi="仿宋" w:eastAsia="仿宋" w:cs="宋体"/>
          <w:color w:val="FF0000"/>
          <w:sz w:val="32"/>
          <w:szCs w:val="32"/>
        </w:rPr>
        <w:t>-20</w:t>
      </w:r>
      <w:r>
        <w:rPr>
          <w:rFonts w:hint="eastAsia" w:ascii="仿宋" w:hAnsi="仿宋" w:eastAsia="仿宋" w:cs="宋体"/>
          <w:color w:val="FF0000"/>
          <w:sz w:val="32"/>
          <w:szCs w:val="32"/>
        </w:rPr>
        <w:t>22</w:t>
      </w:r>
      <w:r>
        <w:rPr>
          <w:rFonts w:ascii="仿宋" w:hAnsi="仿宋" w:eastAsia="仿宋" w:cs="宋体"/>
          <w:color w:val="FF0000"/>
          <w:sz w:val="32"/>
          <w:szCs w:val="32"/>
        </w:rPr>
        <w:t>-</w:t>
      </w:r>
      <w:r>
        <w:rPr>
          <w:rFonts w:hint="eastAsia" w:ascii="仿宋" w:hAnsi="仿宋" w:eastAsia="仿宋" w:cs="宋体"/>
          <w:color w:val="FF0000"/>
          <w:sz w:val="32"/>
          <w:szCs w:val="32"/>
          <w:u w:val="single"/>
        </w:rPr>
        <w:t xml:space="preserve"> 4</w:t>
      </w:r>
      <w:r>
        <w:rPr>
          <w:rFonts w:ascii="仿宋" w:hAnsi="仿宋" w:eastAsia="仿宋" w:cs="宋体"/>
          <w:color w:val="FF0000"/>
          <w:sz w:val="32"/>
          <w:szCs w:val="32"/>
          <w:u w:val="single"/>
        </w:rPr>
        <w:t xml:space="preserve"> </w:t>
      </w:r>
      <w:r>
        <w:rPr>
          <w:rFonts w:hint="eastAsia" w:ascii="仿宋" w:hAnsi="仿宋" w:eastAsia="仿宋" w:cs="宋体"/>
          <w:sz w:val="32"/>
          <w:szCs w:val="32"/>
        </w:rPr>
        <w:t>期砂石产品信息如下：</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18"/>
        <w:gridCol w:w="1842"/>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材料名称</w:t>
            </w:r>
          </w:p>
        </w:tc>
        <w:tc>
          <w:tcPr>
            <w:tcW w:w="1418"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交货地点</w:t>
            </w:r>
          </w:p>
        </w:tc>
        <w:tc>
          <w:tcPr>
            <w:tcW w:w="1842"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数量（万吨）</w:t>
            </w:r>
          </w:p>
        </w:tc>
        <w:tc>
          <w:tcPr>
            <w:tcW w:w="1985"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单价（元/吨）</w:t>
            </w:r>
          </w:p>
        </w:tc>
        <w:tc>
          <w:tcPr>
            <w:tcW w:w="1276"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p>
        </w:tc>
        <w:tc>
          <w:tcPr>
            <w:tcW w:w="1418" w:type="dxa"/>
            <w:vAlign w:val="center"/>
          </w:tcPr>
          <w:p>
            <w:pPr>
              <w:pStyle w:val="9"/>
              <w:widowControl/>
              <w:jc w:val="center"/>
              <w:rPr>
                <w:rFonts w:ascii="仿宋" w:hAnsi="仿宋" w:eastAsia="仿宋" w:cs="宋体"/>
                <w:sz w:val="28"/>
                <w:szCs w:val="32"/>
              </w:rPr>
            </w:pPr>
          </w:p>
        </w:tc>
        <w:tc>
          <w:tcPr>
            <w:tcW w:w="1842" w:type="dxa"/>
            <w:vAlign w:val="center"/>
          </w:tcPr>
          <w:p>
            <w:pPr>
              <w:pStyle w:val="9"/>
              <w:widowControl/>
              <w:jc w:val="center"/>
              <w:rPr>
                <w:rFonts w:ascii="仿宋" w:hAnsi="仿宋" w:eastAsia="仿宋" w:cs="宋体"/>
                <w:sz w:val="28"/>
                <w:szCs w:val="32"/>
              </w:rPr>
            </w:pPr>
          </w:p>
        </w:tc>
        <w:tc>
          <w:tcPr>
            <w:tcW w:w="1985" w:type="dxa"/>
            <w:vAlign w:val="center"/>
          </w:tcPr>
          <w:p>
            <w:pPr>
              <w:pStyle w:val="9"/>
              <w:widowControl/>
              <w:jc w:val="center"/>
              <w:rPr>
                <w:rFonts w:ascii="仿宋" w:hAnsi="仿宋" w:eastAsia="仿宋" w:cs="宋体"/>
                <w:sz w:val="28"/>
                <w:szCs w:val="32"/>
              </w:rPr>
            </w:pPr>
          </w:p>
        </w:tc>
        <w:tc>
          <w:tcPr>
            <w:tcW w:w="1276" w:type="dxa"/>
            <w:vAlign w:val="center"/>
          </w:tcPr>
          <w:p>
            <w:pPr>
              <w:pStyle w:val="9"/>
              <w:widowControl/>
              <w:jc w:val="center"/>
              <w:rPr>
                <w:rFonts w:ascii="仿宋" w:hAnsi="仿宋" w:eastAsia="仿宋" w:cs="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p>
        </w:tc>
        <w:tc>
          <w:tcPr>
            <w:tcW w:w="1418" w:type="dxa"/>
            <w:vAlign w:val="center"/>
          </w:tcPr>
          <w:p>
            <w:pPr>
              <w:pStyle w:val="9"/>
              <w:widowControl/>
              <w:jc w:val="center"/>
              <w:rPr>
                <w:rFonts w:ascii="仿宋" w:hAnsi="仿宋" w:eastAsia="仿宋" w:cs="宋体"/>
                <w:sz w:val="28"/>
                <w:szCs w:val="32"/>
              </w:rPr>
            </w:pPr>
          </w:p>
        </w:tc>
        <w:tc>
          <w:tcPr>
            <w:tcW w:w="1842" w:type="dxa"/>
            <w:vAlign w:val="center"/>
          </w:tcPr>
          <w:p>
            <w:pPr>
              <w:pStyle w:val="9"/>
              <w:widowControl/>
              <w:jc w:val="center"/>
              <w:rPr>
                <w:rFonts w:ascii="仿宋" w:hAnsi="仿宋" w:eastAsia="仿宋" w:cs="宋体"/>
                <w:sz w:val="28"/>
                <w:szCs w:val="32"/>
              </w:rPr>
            </w:pPr>
          </w:p>
        </w:tc>
        <w:tc>
          <w:tcPr>
            <w:tcW w:w="1985" w:type="dxa"/>
            <w:vAlign w:val="center"/>
          </w:tcPr>
          <w:p>
            <w:pPr>
              <w:pStyle w:val="9"/>
              <w:widowControl/>
              <w:jc w:val="center"/>
              <w:rPr>
                <w:rFonts w:ascii="仿宋" w:hAnsi="仿宋" w:eastAsia="仿宋" w:cs="宋体"/>
                <w:sz w:val="28"/>
                <w:szCs w:val="32"/>
              </w:rPr>
            </w:pPr>
          </w:p>
        </w:tc>
        <w:tc>
          <w:tcPr>
            <w:tcW w:w="1276" w:type="dxa"/>
            <w:vAlign w:val="center"/>
          </w:tcPr>
          <w:p>
            <w:pPr>
              <w:pStyle w:val="9"/>
              <w:widowControl/>
              <w:jc w:val="center"/>
              <w:rPr>
                <w:rFonts w:ascii="仿宋" w:hAnsi="仿宋" w:eastAsia="仿宋" w:cs="宋体"/>
                <w:sz w:val="28"/>
                <w:szCs w:val="32"/>
              </w:rPr>
            </w:pPr>
          </w:p>
        </w:tc>
      </w:tr>
    </w:tbl>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买方、竞得人对竞价过程和成交结果均无异议。</w:t>
      </w:r>
    </w:p>
    <w:p>
      <w:pPr>
        <w:spacing w:line="360" w:lineRule="auto"/>
        <w:ind w:right="15" w:rightChars="7" w:firstLine="641"/>
        <w:rPr>
          <w:rFonts w:ascii="仿宋" w:hAnsi="仿宋" w:eastAsia="仿宋" w:cs="宋体"/>
          <w:sz w:val="28"/>
          <w:szCs w:val="28"/>
        </w:rPr>
      </w:pPr>
      <w:r>
        <w:rPr>
          <w:rFonts w:hint="eastAsia" w:ascii="仿宋" w:hAnsi="仿宋" w:eastAsia="仿宋" w:cs="宋体"/>
          <w:sz w:val="32"/>
          <w:szCs w:val="32"/>
        </w:rPr>
        <w:t>三、根据实际交货地点及业务需要，竞得人须于本确认书签订后</w:t>
      </w:r>
      <w:r>
        <w:rPr>
          <w:rFonts w:hint="eastAsia" w:ascii="仿宋" w:hAnsi="仿宋" w:eastAsia="仿宋" w:cs="宋体"/>
          <w:b/>
          <w:sz w:val="32"/>
          <w:szCs w:val="32"/>
        </w:rPr>
        <w:t>1个工作</w:t>
      </w:r>
      <w:r>
        <w:rPr>
          <w:rFonts w:hint="eastAsia" w:ascii="仿宋" w:hAnsi="仿宋" w:eastAsia="仿宋" w:cs="宋体"/>
          <w:b/>
          <w:bCs/>
          <w:sz w:val="32"/>
          <w:szCs w:val="32"/>
        </w:rPr>
        <w:t>日</w:t>
      </w:r>
      <w:r>
        <w:rPr>
          <w:rFonts w:hint="eastAsia" w:ascii="仿宋" w:hAnsi="仿宋" w:eastAsia="仿宋" w:cs="宋体"/>
          <w:sz w:val="32"/>
          <w:szCs w:val="32"/>
        </w:rPr>
        <w:t>内与</w:t>
      </w:r>
      <w:r>
        <w:rPr>
          <w:rFonts w:hint="eastAsia" w:ascii="仿宋" w:hAnsi="仿宋" w:eastAsia="仿宋" w:cs="仿宋"/>
          <w:sz w:val="32"/>
          <w:szCs w:val="32"/>
          <w:lang w:bidi="ar"/>
        </w:rPr>
        <w:t>南京中联混凝土有限公司及相关分公司（包括</w:t>
      </w:r>
      <w:r>
        <w:rPr>
          <w:rFonts w:hint="eastAsia" w:ascii="仿宋" w:hAnsi="仿宋" w:eastAsia="仿宋" w:cs="宋体"/>
          <w:kern w:val="0"/>
          <w:sz w:val="32"/>
          <w:szCs w:val="32"/>
        </w:rPr>
        <w:t>南京中联混凝土有限公司溧水分公司、南京中联混凝土有限公司溧水开发区分公司、南京中联混凝土有限公司栖霞分公司、南京中联混凝土有限公司星甸分公司、南京中联混凝土有限公司永宁分公司、南京中联混凝土有限公司六合分公司</w:t>
      </w:r>
      <w:r>
        <w:rPr>
          <w:rFonts w:hint="eastAsia" w:ascii="仿宋" w:hAnsi="仿宋" w:eastAsia="仿宋" w:cs="仿宋"/>
          <w:sz w:val="32"/>
          <w:szCs w:val="32"/>
          <w:lang w:bidi="ar"/>
        </w:rPr>
        <w:t>）</w:t>
      </w:r>
      <w:r>
        <w:rPr>
          <w:rFonts w:hint="eastAsia" w:ascii="仿宋" w:hAnsi="仿宋" w:eastAsia="仿宋" w:cs="宋体"/>
          <w:sz w:val="32"/>
          <w:szCs w:val="32"/>
        </w:rPr>
        <w:t>签订《预拌混凝土原材料采购合同（砂、石）》。</w:t>
      </w:r>
    </w:p>
    <w:p>
      <w:pPr>
        <w:spacing w:line="360" w:lineRule="auto"/>
        <w:ind w:firstLine="641"/>
        <w:rPr>
          <w:rFonts w:ascii="仿宋" w:hAnsi="仿宋" w:eastAsia="仿宋" w:cs="宋体"/>
          <w:sz w:val="32"/>
          <w:szCs w:val="32"/>
        </w:rPr>
      </w:pPr>
      <w:r>
        <w:rPr>
          <w:rFonts w:hint="eastAsia" w:ascii="仿宋" w:hAnsi="仿宋" w:eastAsia="仿宋" w:cs="宋体"/>
          <w:sz w:val="32"/>
          <w:szCs w:val="32"/>
        </w:rPr>
        <w:t>四、本确认书一式贰份，买方、竞得人各执壹份。</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买方（盖章）：</w:t>
      </w:r>
      <w:r>
        <w:rPr>
          <w:rFonts w:hint="eastAsia" w:ascii="仿宋" w:hAnsi="仿宋" w:eastAsia="仿宋" w:cs="仿宋"/>
          <w:sz w:val="32"/>
          <w:szCs w:val="32"/>
          <w:lang w:bidi="ar"/>
        </w:rPr>
        <w:t>南京中联混凝土有限公司</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竞得人（盖章）：</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 xml:space="preserve"> </w:t>
      </w:r>
    </w:p>
    <w:p>
      <w:pPr>
        <w:autoSpaceDE w:val="0"/>
        <w:autoSpaceDN w:val="0"/>
        <w:adjustRightInd w:val="0"/>
        <w:spacing w:line="560" w:lineRule="exact"/>
        <w:jc w:val="left"/>
        <w:rPr>
          <w:rFonts w:ascii="仿宋" w:hAnsi="仿宋" w:eastAsia="仿宋" w:cs="宋体"/>
          <w:kern w:val="0"/>
          <w:sz w:val="32"/>
          <w:szCs w:val="32"/>
        </w:rPr>
      </w:pPr>
    </w:p>
    <w:p>
      <w:pPr>
        <w:spacing w:line="560" w:lineRule="exact"/>
        <w:ind w:firstLine="480"/>
        <w:rPr>
          <w:rFonts w:ascii="仿宋" w:hAnsi="仿宋" w:eastAsia="仿宋" w:cs="宋体"/>
          <w:kern w:val="0"/>
          <w:sz w:val="28"/>
          <w:szCs w:val="28"/>
        </w:rPr>
      </w:pPr>
      <w:r>
        <w:rPr>
          <w:rFonts w:hint="eastAsia" w:ascii="仿宋" w:hAnsi="仿宋" w:eastAsia="仿宋" w:cs="宋体"/>
          <w:kern w:val="0"/>
          <w:sz w:val="32"/>
          <w:szCs w:val="32"/>
        </w:rPr>
        <w:t xml:space="preserve">                       </w:t>
      </w:r>
      <w:r>
        <w:rPr>
          <w:rFonts w:hint="eastAsia" w:ascii="仿宋" w:hAnsi="仿宋" w:eastAsia="仿宋" w:cs="宋体"/>
          <w:kern w:val="0"/>
          <w:sz w:val="28"/>
          <w:szCs w:val="28"/>
        </w:rPr>
        <w:t>日    期： 2022年</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 xml:space="preserve">日  </w:t>
      </w:r>
    </w:p>
    <w:p>
      <w:pPr>
        <w:spacing w:line="360" w:lineRule="auto"/>
        <w:jc w:val="left"/>
        <w:rPr>
          <w:sz w:val="24"/>
          <w:szCs w:val="24"/>
        </w:rPr>
      </w:pPr>
    </w:p>
    <w:p>
      <w:pPr>
        <w:jc w:val="center"/>
        <w:rPr>
          <w:sz w:val="24"/>
          <w:szCs w:val="24"/>
        </w:rPr>
      </w:pPr>
    </w:p>
    <w:p>
      <w:pPr>
        <w:jc w:val="center"/>
        <w:rPr>
          <w:rFonts w:ascii="宋体" w:hAnsi="宋体"/>
          <w:b/>
          <w:sz w:val="44"/>
          <w:szCs w:val="44"/>
        </w:rPr>
      </w:pPr>
    </w:p>
    <w:p>
      <w:pPr>
        <w:pStyle w:val="10"/>
        <w:jc w:val="both"/>
        <w:rPr>
          <w:rFonts w:asciiTheme="majorEastAsia" w:hAnsiTheme="majorEastAsia" w:eastAsiaTheme="majorEastAsia" w:cstheme="minorBidi"/>
        </w:rPr>
      </w:pPr>
    </w:p>
    <w:p>
      <w:pPr>
        <w:pStyle w:val="10"/>
        <w:jc w:val="both"/>
        <w:rPr>
          <w:rFonts w:asciiTheme="majorEastAsia" w:hAnsiTheme="majorEastAsia" w:eastAsiaTheme="majorEastAsia" w:cstheme="minorBidi"/>
        </w:rPr>
      </w:pPr>
    </w:p>
    <w:p>
      <w:pPr>
        <w:pStyle w:val="10"/>
        <w:jc w:val="both"/>
        <w:rPr>
          <w:rFonts w:asciiTheme="majorEastAsia" w:hAnsiTheme="majorEastAsia" w:eastAsiaTheme="majorEastAsia" w:cstheme="minorBidi"/>
        </w:rPr>
      </w:pPr>
    </w:p>
    <w:p>
      <w:pPr>
        <w:pStyle w:val="10"/>
        <w:jc w:val="both"/>
        <w:rPr>
          <w:rFonts w:asciiTheme="majorEastAsia" w:hAnsiTheme="majorEastAsia" w:eastAsiaTheme="majorEastAsia"/>
        </w:rPr>
      </w:pPr>
      <w:r>
        <w:rPr>
          <w:rFonts w:hint="eastAsia" w:asciiTheme="majorEastAsia" w:hAnsiTheme="majorEastAsia" w:eastAsiaTheme="majorEastAsia" w:cstheme="minorBidi"/>
        </w:rPr>
        <w:t>附件4：</w:t>
      </w:r>
      <w:r>
        <w:rPr>
          <w:rFonts w:hint="eastAsia" w:asciiTheme="majorEastAsia" w:hAnsiTheme="majorEastAsia" w:eastAsiaTheme="majorEastAsia"/>
        </w:rPr>
        <w:t xml:space="preserve"> </w:t>
      </w:r>
    </w:p>
    <w:p>
      <w:pPr>
        <w:widowControl/>
        <w:spacing w:line="560" w:lineRule="exact"/>
        <w:jc w:val="center"/>
        <w:rPr>
          <w:rFonts w:ascii="仿宋_GB2312" w:hAnsi="Times New Roman" w:eastAsia="仿宋_GB2312" w:cs="Times New Roman"/>
          <w:b/>
          <w:bCs/>
          <w:sz w:val="44"/>
          <w:szCs w:val="44"/>
        </w:rPr>
      </w:pPr>
      <w:r>
        <w:rPr>
          <w:rFonts w:hint="eastAsia" w:ascii="仿宋_GB2312" w:hAnsi="Times New Roman" w:eastAsia="仿宋_GB2312" w:cs="Times New Roman"/>
          <w:b/>
          <w:bCs/>
          <w:sz w:val="44"/>
          <w:szCs w:val="44"/>
        </w:rPr>
        <w:t>《承诺书》</w:t>
      </w: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因本公司需参与贵公司2022年度砂石产品竞标活动，为减少我公司保证金支付审批频次，方便及时投标，现承诺如下：</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我公司自愿将 </w:t>
      </w:r>
      <w:r>
        <w:rPr>
          <w:rFonts w:ascii="仿宋" w:hAnsi="仿宋" w:eastAsia="仿宋" w:cs="宋体"/>
          <w:kern w:val="0"/>
          <w:sz w:val="28"/>
          <w:szCs w:val="28"/>
          <w:u w:val="single"/>
        </w:rPr>
        <w:t xml:space="preserve">   </w:t>
      </w:r>
      <w:r>
        <w:rPr>
          <w:rFonts w:hint="eastAsia" w:ascii="仿宋_GB2312" w:hAnsi="仿宋_GB2312" w:eastAsia="仿宋_GB2312" w:cs="仿宋_GB2312"/>
          <w:sz w:val="32"/>
          <w:szCs w:val="32"/>
        </w:rPr>
        <w:t xml:space="preserve"> 万</w:t>
      </w:r>
      <w:r>
        <w:rPr>
          <w:rFonts w:hint="eastAsia" w:ascii="仿宋_GB2312" w:hAnsi="仿宋_GB2312" w:eastAsia="仿宋_GB2312" w:cs="仿宋_GB2312"/>
          <w:kern w:val="0"/>
          <w:sz w:val="32"/>
          <w:szCs w:val="32"/>
        </w:rPr>
        <w:t>保证金长期存放在贵公司，需要时我公司将提前10天向贵公司提交书面申请提取，贵公司只需无息退还本金即可。</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竞标人（盖章）：</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法定代表人或授权委托代理人（签名）：</w:t>
      </w:r>
    </w:p>
    <w:p>
      <w:pPr>
        <w:widowControl/>
        <w:jc w:val="left"/>
        <w:rPr>
          <w:rFonts w:ascii="仿宋_GB2312" w:hAnsi="仿宋_GB2312" w:eastAsia="仿宋_GB2312" w:cs="仿宋_GB2312"/>
          <w:kern w:val="0"/>
          <w:sz w:val="32"/>
          <w:szCs w:val="32"/>
        </w:rPr>
      </w:pPr>
    </w:p>
    <w:p>
      <w:pPr>
        <w:widowControl/>
        <w:jc w:val="left"/>
      </w:pPr>
      <w:r>
        <w:rPr>
          <w:rFonts w:hint="eastAsia" w:ascii="仿宋_GB2312" w:hAnsi="仿宋_GB2312" w:eastAsia="仿宋_GB2312" w:cs="仿宋_GB2312"/>
          <w:kern w:val="0"/>
          <w:sz w:val="32"/>
          <w:szCs w:val="32"/>
        </w:rPr>
        <w:t>日 期：2022年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- 16 -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- 16 -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1536"/>
    <w:multiLevelType w:val="singleLevel"/>
    <w:tmpl w:val="B90D1536"/>
    <w:lvl w:ilvl="0" w:tentative="0">
      <w:start w:val="2"/>
      <w:numFmt w:val="decimal"/>
      <w:suff w:val="nothing"/>
      <w:lvlText w:val="（%1）"/>
      <w:lvlJc w:val="left"/>
    </w:lvl>
  </w:abstractNum>
  <w:abstractNum w:abstractNumId="1">
    <w:nsid w:val="C03AD09C"/>
    <w:multiLevelType w:val="singleLevel"/>
    <w:tmpl w:val="C03AD09C"/>
    <w:lvl w:ilvl="0" w:tentative="0">
      <w:start w:val="2"/>
      <w:numFmt w:val="decimal"/>
      <w:suff w:val="nothing"/>
      <w:lvlText w:val="（%1）"/>
      <w:lvlJc w:val="left"/>
      <w:pPr>
        <w:ind w:left="-220"/>
      </w:pPr>
    </w:lvl>
  </w:abstractNum>
  <w:abstractNum w:abstractNumId="2">
    <w:nsid w:val="0A2C2496"/>
    <w:multiLevelType w:val="singleLevel"/>
    <w:tmpl w:val="0A2C249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40"/>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85A"/>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713"/>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97BD3"/>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2C"/>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B87"/>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5EE5"/>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418"/>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0A0C"/>
    <w:rsid w:val="003D138B"/>
    <w:rsid w:val="003D1616"/>
    <w:rsid w:val="003D16FB"/>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8DE"/>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9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B8"/>
    <w:rsid w:val="004C08ED"/>
    <w:rsid w:val="004C0A00"/>
    <w:rsid w:val="004C0E2B"/>
    <w:rsid w:val="004C0FDE"/>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2E6"/>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454"/>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3F8"/>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A06"/>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CD8"/>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797"/>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B3F"/>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9FA"/>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833"/>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705"/>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9F1"/>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51D"/>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C82"/>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C06"/>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6A"/>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412"/>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94E"/>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7B6"/>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44"/>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6C8"/>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3BB"/>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C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094"/>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596"/>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6C7"/>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77FDB"/>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EF5"/>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80"/>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3E59"/>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3C"/>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9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48C180B"/>
    <w:rsid w:val="048D0BB7"/>
    <w:rsid w:val="04A15DC2"/>
    <w:rsid w:val="05F12651"/>
    <w:rsid w:val="07774735"/>
    <w:rsid w:val="08386073"/>
    <w:rsid w:val="083D55C7"/>
    <w:rsid w:val="091E5F9B"/>
    <w:rsid w:val="093E523F"/>
    <w:rsid w:val="0AB50401"/>
    <w:rsid w:val="0B664854"/>
    <w:rsid w:val="0CD0381B"/>
    <w:rsid w:val="0E400C24"/>
    <w:rsid w:val="0E722C77"/>
    <w:rsid w:val="0EC41A8A"/>
    <w:rsid w:val="0F1A489C"/>
    <w:rsid w:val="10B26951"/>
    <w:rsid w:val="117B7760"/>
    <w:rsid w:val="11BB2940"/>
    <w:rsid w:val="14373EEB"/>
    <w:rsid w:val="144D6802"/>
    <w:rsid w:val="14663E20"/>
    <w:rsid w:val="177F2B37"/>
    <w:rsid w:val="18A05BA2"/>
    <w:rsid w:val="1D071BD3"/>
    <w:rsid w:val="1D153A25"/>
    <w:rsid w:val="1D154583"/>
    <w:rsid w:val="1D585501"/>
    <w:rsid w:val="1EA40B16"/>
    <w:rsid w:val="1FD782E0"/>
    <w:rsid w:val="210F123D"/>
    <w:rsid w:val="21874CBE"/>
    <w:rsid w:val="21BD4444"/>
    <w:rsid w:val="23983868"/>
    <w:rsid w:val="2466059E"/>
    <w:rsid w:val="24F420C7"/>
    <w:rsid w:val="253B57EA"/>
    <w:rsid w:val="25EA05B5"/>
    <w:rsid w:val="27504785"/>
    <w:rsid w:val="277C726E"/>
    <w:rsid w:val="27981C80"/>
    <w:rsid w:val="28F174F3"/>
    <w:rsid w:val="2911757E"/>
    <w:rsid w:val="292672D3"/>
    <w:rsid w:val="2A72335D"/>
    <w:rsid w:val="2B2E744E"/>
    <w:rsid w:val="2BEF5DD7"/>
    <w:rsid w:val="2D11490D"/>
    <w:rsid w:val="2D836919"/>
    <w:rsid w:val="2E4924A6"/>
    <w:rsid w:val="2F0050B1"/>
    <w:rsid w:val="2F25779D"/>
    <w:rsid w:val="2F8F686D"/>
    <w:rsid w:val="304150EC"/>
    <w:rsid w:val="30B11DBC"/>
    <w:rsid w:val="31197AD2"/>
    <w:rsid w:val="3394598B"/>
    <w:rsid w:val="33D07D9B"/>
    <w:rsid w:val="344E4C3C"/>
    <w:rsid w:val="368C0895"/>
    <w:rsid w:val="3833FE27"/>
    <w:rsid w:val="3A4B4EF0"/>
    <w:rsid w:val="3AB33B24"/>
    <w:rsid w:val="3B8C0ABE"/>
    <w:rsid w:val="3CEA0596"/>
    <w:rsid w:val="3D0224D7"/>
    <w:rsid w:val="3D6930B5"/>
    <w:rsid w:val="3E0C43C8"/>
    <w:rsid w:val="3E3351A0"/>
    <w:rsid w:val="3E4404A1"/>
    <w:rsid w:val="3F4B26B2"/>
    <w:rsid w:val="3FEFB7C9"/>
    <w:rsid w:val="403F029C"/>
    <w:rsid w:val="410E2DA0"/>
    <w:rsid w:val="41465189"/>
    <w:rsid w:val="424539BD"/>
    <w:rsid w:val="42540E4B"/>
    <w:rsid w:val="42777067"/>
    <w:rsid w:val="42817622"/>
    <w:rsid w:val="42D92015"/>
    <w:rsid w:val="4531762F"/>
    <w:rsid w:val="47312C8A"/>
    <w:rsid w:val="47461953"/>
    <w:rsid w:val="478B1255"/>
    <w:rsid w:val="47EB2504"/>
    <w:rsid w:val="47FF01E7"/>
    <w:rsid w:val="48FF3934"/>
    <w:rsid w:val="494E5FF9"/>
    <w:rsid w:val="496A408C"/>
    <w:rsid w:val="49BB6E3D"/>
    <w:rsid w:val="4BCA00BB"/>
    <w:rsid w:val="4C153407"/>
    <w:rsid w:val="4C3E0AEF"/>
    <w:rsid w:val="4D0C1571"/>
    <w:rsid w:val="4D690C66"/>
    <w:rsid w:val="4E8C462D"/>
    <w:rsid w:val="4EB8335F"/>
    <w:rsid w:val="4EFB1916"/>
    <w:rsid w:val="51161366"/>
    <w:rsid w:val="51EF78F1"/>
    <w:rsid w:val="5208770C"/>
    <w:rsid w:val="52977191"/>
    <w:rsid w:val="533E2C95"/>
    <w:rsid w:val="53560AD1"/>
    <w:rsid w:val="53F02921"/>
    <w:rsid w:val="54284998"/>
    <w:rsid w:val="55AE0CF2"/>
    <w:rsid w:val="55DF643D"/>
    <w:rsid w:val="55F93022"/>
    <w:rsid w:val="570162CF"/>
    <w:rsid w:val="57076DA5"/>
    <w:rsid w:val="571E2E47"/>
    <w:rsid w:val="581C28CD"/>
    <w:rsid w:val="581F2D7C"/>
    <w:rsid w:val="582C44F5"/>
    <w:rsid w:val="591D2470"/>
    <w:rsid w:val="59D4149E"/>
    <w:rsid w:val="5A6F213D"/>
    <w:rsid w:val="5AC24C9A"/>
    <w:rsid w:val="5B536DE1"/>
    <w:rsid w:val="5B7C7DD6"/>
    <w:rsid w:val="5BD84AFF"/>
    <w:rsid w:val="5C4D4C4B"/>
    <w:rsid w:val="5C665D09"/>
    <w:rsid w:val="5CC95A45"/>
    <w:rsid w:val="5CCF43FC"/>
    <w:rsid w:val="5E6D119F"/>
    <w:rsid w:val="5F8B52EA"/>
    <w:rsid w:val="6046391C"/>
    <w:rsid w:val="60775315"/>
    <w:rsid w:val="6095537D"/>
    <w:rsid w:val="60C45EE4"/>
    <w:rsid w:val="60CC294E"/>
    <w:rsid w:val="615E7E52"/>
    <w:rsid w:val="61D307AF"/>
    <w:rsid w:val="62554106"/>
    <w:rsid w:val="63561F17"/>
    <w:rsid w:val="63B118BC"/>
    <w:rsid w:val="63C66EC0"/>
    <w:rsid w:val="63D760D7"/>
    <w:rsid w:val="643E7768"/>
    <w:rsid w:val="6460162D"/>
    <w:rsid w:val="64731660"/>
    <w:rsid w:val="648A61D1"/>
    <w:rsid w:val="6664301D"/>
    <w:rsid w:val="66DD32F7"/>
    <w:rsid w:val="670A5BB3"/>
    <w:rsid w:val="67FDB475"/>
    <w:rsid w:val="68221A76"/>
    <w:rsid w:val="68CE68AC"/>
    <w:rsid w:val="68D11FBD"/>
    <w:rsid w:val="69276125"/>
    <w:rsid w:val="695B16D5"/>
    <w:rsid w:val="697C6B9B"/>
    <w:rsid w:val="6B98513E"/>
    <w:rsid w:val="6BC40C68"/>
    <w:rsid w:val="6E934581"/>
    <w:rsid w:val="6EFBD170"/>
    <w:rsid w:val="6F325165"/>
    <w:rsid w:val="6F9E0AAB"/>
    <w:rsid w:val="7039771A"/>
    <w:rsid w:val="70424565"/>
    <w:rsid w:val="710C5E72"/>
    <w:rsid w:val="719E50B9"/>
    <w:rsid w:val="737A10CB"/>
    <w:rsid w:val="73E157AF"/>
    <w:rsid w:val="755516F8"/>
    <w:rsid w:val="7625023F"/>
    <w:rsid w:val="76D54CCA"/>
    <w:rsid w:val="76DF06D7"/>
    <w:rsid w:val="76F784FC"/>
    <w:rsid w:val="77355948"/>
    <w:rsid w:val="776D7079"/>
    <w:rsid w:val="7773427D"/>
    <w:rsid w:val="77FF3C89"/>
    <w:rsid w:val="78047384"/>
    <w:rsid w:val="79BB2FE8"/>
    <w:rsid w:val="79EE6DBE"/>
    <w:rsid w:val="7CF57E0B"/>
    <w:rsid w:val="7D0B1235"/>
    <w:rsid w:val="7D7E3B33"/>
    <w:rsid w:val="7D892BC5"/>
    <w:rsid w:val="7DED7B10"/>
    <w:rsid w:val="7E7E2F05"/>
    <w:rsid w:val="7EBF79BF"/>
    <w:rsid w:val="7F3E56AC"/>
    <w:rsid w:val="7F3F9604"/>
    <w:rsid w:val="7F9056C7"/>
    <w:rsid w:val="7FBA783D"/>
    <w:rsid w:val="7FBEB8E0"/>
    <w:rsid w:val="7FD37E1F"/>
    <w:rsid w:val="7FDFE6E6"/>
    <w:rsid w:val="AFBF7FEE"/>
    <w:rsid w:val="B787FDE3"/>
    <w:rsid w:val="BDD6D118"/>
    <w:rsid w:val="BEF5111A"/>
    <w:rsid w:val="BEFF1632"/>
    <w:rsid w:val="BF1FB41C"/>
    <w:rsid w:val="CF748278"/>
    <w:rsid w:val="DCAF13E4"/>
    <w:rsid w:val="DD56658D"/>
    <w:rsid w:val="DDEF9E11"/>
    <w:rsid w:val="DEBF3D5A"/>
    <w:rsid w:val="DEDFD22C"/>
    <w:rsid w:val="DFFD1604"/>
    <w:rsid w:val="ECFDCEAA"/>
    <w:rsid w:val="ED7ABCD7"/>
    <w:rsid w:val="EEF7CBD0"/>
    <w:rsid w:val="EFBF062A"/>
    <w:rsid w:val="EFD80D4B"/>
    <w:rsid w:val="EFDE1010"/>
    <w:rsid w:val="F17F953E"/>
    <w:rsid w:val="F79FD2DA"/>
    <w:rsid w:val="F7CB1C3B"/>
    <w:rsid w:val="F7FDFECC"/>
    <w:rsid w:val="FBDFA598"/>
    <w:rsid w:val="FBF60718"/>
    <w:rsid w:val="FD7E66BD"/>
    <w:rsid w:val="FEEEDD19"/>
    <w:rsid w:val="FF1E34AA"/>
    <w:rsid w:val="FF3D7ABD"/>
    <w:rsid w:val="FF7D1CC1"/>
    <w:rsid w:val="FFCB5C17"/>
    <w:rsid w:val="FFCD6EE4"/>
    <w:rsid w:val="FFF6C0C3"/>
    <w:rsid w:val="FFFDAE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customStyle="1" w:styleId="15">
    <w:name w:val="标题 1 Char"/>
    <w:basedOn w:val="13"/>
    <w:link w:val="2"/>
    <w:qFormat/>
    <w:uiPriority w:val="9"/>
    <w:rPr>
      <w:b/>
      <w:bCs/>
      <w:kern w:val="44"/>
      <w:sz w:val="44"/>
      <w:szCs w:val="44"/>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批注框文本 Char"/>
    <w:basedOn w:val="13"/>
    <w:link w:val="5"/>
    <w:semiHidden/>
    <w:qFormat/>
    <w:uiPriority w:val="99"/>
    <w:rPr>
      <w:sz w:val="18"/>
      <w:szCs w:val="18"/>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5450</Words>
  <Characters>5753</Characters>
  <Lines>45</Lines>
  <Paragraphs>12</Paragraphs>
  <TotalTime>36</TotalTime>
  <ScaleCrop>false</ScaleCrop>
  <LinksUpToDate>false</LinksUpToDate>
  <CharactersWithSpaces>5920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2014-09-14T18:16:00Z</dcterms:created>
  <dc:creator>备注</dc:creator>
  <cp:lastModifiedBy>O.Y.D.J</cp:lastModifiedBy>
  <cp:lastPrinted>2021-09-24T16:59:00Z</cp:lastPrinted>
  <dcterms:modified xsi:type="dcterms:W3CDTF">2022-05-16T01:21:07Z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AB3959C61E704F2F902A3EB14ABC69B7</vt:lpwstr>
  </property>
</Properties>
</file>